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90A54" w14:textId="77777777" w:rsidR="00722F8D" w:rsidRDefault="00722F8D" w:rsidP="00722F8D"/>
    <w:p w14:paraId="63DE071D" w14:textId="77777777" w:rsidR="00722F8D" w:rsidRDefault="00722F8D" w:rsidP="00722F8D"/>
    <w:p w14:paraId="57C3D221" w14:textId="77777777" w:rsidR="00722F8D" w:rsidRDefault="00722F8D" w:rsidP="00722F8D"/>
    <w:p w14:paraId="0E6119BA" w14:textId="77777777" w:rsidR="00722F8D" w:rsidRDefault="00722F8D" w:rsidP="00722F8D"/>
    <w:p w14:paraId="3E24B0F7" w14:textId="77777777" w:rsidR="00722F8D" w:rsidRDefault="00722F8D" w:rsidP="00722F8D"/>
    <w:p w14:paraId="20A5B6A5" w14:textId="77777777" w:rsidR="00722F8D" w:rsidRDefault="00722F8D" w:rsidP="00722F8D"/>
    <w:p w14:paraId="105C934A" w14:textId="77777777" w:rsidR="00722F8D" w:rsidRDefault="00722F8D" w:rsidP="00722F8D"/>
    <w:p w14:paraId="4A8B2BF7" w14:textId="77777777" w:rsidR="00722F8D" w:rsidRDefault="00722F8D" w:rsidP="00722F8D"/>
    <w:p w14:paraId="58227167" w14:textId="77777777" w:rsidR="00722F8D" w:rsidRDefault="00722F8D" w:rsidP="00722F8D"/>
    <w:p w14:paraId="3C6571FB" w14:textId="77777777" w:rsidR="00722F8D" w:rsidRDefault="00722F8D" w:rsidP="00722F8D"/>
    <w:p w14:paraId="1AD283CD" w14:textId="77777777" w:rsidR="00722F8D" w:rsidRDefault="00722F8D" w:rsidP="00722F8D"/>
    <w:p w14:paraId="19170C3E" w14:textId="77777777" w:rsidR="00722F8D" w:rsidRDefault="00722F8D" w:rsidP="00722F8D"/>
    <w:p w14:paraId="243D65EA" w14:textId="77777777" w:rsidR="00722F8D" w:rsidRDefault="00722F8D" w:rsidP="00722F8D"/>
    <w:p w14:paraId="627B8F1B" w14:textId="77777777" w:rsidR="00722F8D" w:rsidRDefault="00722F8D" w:rsidP="00722F8D"/>
    <w:p w14:paraId="392DFB7D" w14:textId="77777777" w:rsidR="00722F8D" w:rsidRDefault="00722F8D" w:rsidP="00722F8D"/>
    <w:p w14:paraId="43868C5E" w14:textId="7D9047A4" w:rsidR="00722F8D" w:rsidRDefault="001E36CA" w:rsidP="00414C99">
      <w:pPr>
        <w:spacing w:line="480" w:lineRule="auto"/>
        <w:jc w:val="center"/>
      </w:pPr>
      <w:r>
        <w:t>Cultural Research Assignment</w:t>
      </w:r>
    </w:p>
    <w:p w14:paraId="1BC3D522" w14:textId="77777777" w:rsidR="00722F8D" w:rsidRDefault="00722F8D" w:rsidP="00414C99">
      <w:pPr>
        <w:spacing w:line="480" w:lineRule="auto"/>
        <w:jc w:val="center"/>
      </w:pPr>
      <w:r>
        <w:t>Nadine T. Keyworth</w:t>
      </w:r>
    </w:p>
    <w:p w14:paraId="24582912" w14:textId="607AF62D" w:rsidR="00722F8D" w:rsidRDefault="00722F8D" w:rsidP="00414C99">
      <w:pPr>
        <w:spacing w:line="480" w:lineRule="auto"/>
        <w:jc w:val="center"/>
      </w:pPr>
      <w:r>
        <w:t>City University</w:t>
      </w:r>
    </w:p>
    <w:p w14:paraId="70775C6A" w14:textId="5C5BBA5B" w:rsidR="00722F8D" w:rsidRDefault="00722F8D" w:rsidP="00722F8D">
      <w:r>
        <w:br w:type="page"/>
      </w:r>
    </w:p>
    <w:p w14:paraId="2BFD44CE" w14:textId="488FF2B5" w:rsidR="00B47DE3" w:rsidRDefault="00505D67" w:rsidP="00FE682C">
      <w:pPr>
        <w:spacing w:line="480" w:lineRule="auto"/>
        <w:ind w:firstLine="720"/>
      </w:pPr>
      <w:r>
        <w:lastRenderedPageBreak/>
        <w:t xml:space="preserve">In our diverse world, it is important that every person </w:t>
      </w:r>
      <w:r w:rsidR="00DC425D">
        <w:t xml:space="preserve">feel </w:t>
      </w:r>
      <w:r w:rsidR="00BF0022">
        <w:t>safe, included and respected. A</w:t>
      </w:r>
      <w:r w:rsidR="00B80BEC">
        <w:t xml:space="preserve">s educators </w:t>
      </w:r>
      <w:r w:rsidR="00BF0022">
        <w:t>we need to</w:t>
      </w:r>
      <w:r w:rsidR="00B80BEC">
        <w:t xml:space="preserve"> </w:t>
      </w:r>
      <w:r w:rsidR="00AA48A4">
        <w:t xml:space="preserve">be </w:t>
      </w:r>
      <w:r w:rsidR="004227A2">
        <w:t xml:space="preserve">culturally </w:t>
      </w:r>
      <w:r w:rsidR="00AA48A4">
        <w:t xml:space="preserve">aware of the </w:t>
      </w:r>
      <w:r w:rsidR="004227A2">
        <w:t xml:space="preserve">complexity of the students </w:t>
      </w:r>
      <w:r w:rsidR="00AA48A4">
        <w:t>who enter our schools</w:t>
      </w:r>
      <w:r w:rsidR="000F4C86">
        <w:t xml:space="preserve">. </w:t>
      </w:r>
      <w:r w:rsidR="00DA4A65">
        <w:t xml:space="preserve">We don’t need to know a deep history of each cultural group, instead, we need to understand that groups are more than the simple </w:t>
      </w:r>
      <w:r w:rsidR="00900FCF">
        <w:t>stereotypes</w:t>
      </w:r>
      <w:r w:rsidR="00DA4A65">
        <w:t xml:space="preserve"> </w:t>
      </w:r>
      <w:r w:rsidR="00676187">
        <w:t xml:space="preserve">presenting in </w:t>
      </w:r>
      <w:r w:rsidR="00DA4A65">
        <w:t>media</w:t>
      </w:r>
      <w:r w:rsidR="00676187">
        <w:t xml:space="preserve">. Three such cultural groups, who are more than their generalized stereotypes are transgender peoples, refugees, and Jehovah’s Witnesses. </w:t>
      </w:r>
    </w:p>
    <w:p w14:paraId="56959318" w14:textId="1CFD9503" w:rsidR="00FB176D" w:rsidRPr="00CE5C21" w:rsidRDefault="00F058D4" w:rsidP="00FE682C">
      <w:pPr>
        <w:spacing w:line="480" w:lineRule="auto"/>
        <w:jc w:val="center"/>
        <w:rPr>
          <w:b/>
        </w:rPr>
      </w:pPr>
      <w:r w:rsidRPr="0090502E">
        <w:rPr>
          <w:b/>
        </w:rPr>
        <w:t>Transgender Culture</w:t>
      </w:r>
    </w:p>
    <w:p w14:paraId="59135E43" w14:textId="0397BF17" w:rsidR="00506755" w:rsidRDefault="00EA70AC" w:rsidP="00FE682C">
      <w:pPr>
        <w:spacing w:line="480" w:lineRule="auto"/>
        <w:ind w:firstLine="720"/>
      </w:pPr>
      <w:r>
        <w:t>Recently</w:t>
      </w:r>
      <w:r w:rsidR="00F21FD5">
        <w:t xml:space="preserve"> there has been greater</w:t>
      </w:r>
      <w:r>
        <w:t xml:space="preserve"> social</w:t>
      </w:r>
      <w:r w:rsidR="00F21FD5">
        <w:t xml:space="preserve"> awareness of transgender culture</w:t>
      </w:r>
      <w:r>
        <w:t>, with m</w:t>
      </w:r>
      <w:r w:rsidR="00F21FD5">
        <w:t xml:space="preserve">uch of this growing awareness </w:t>
      </w:r>
      <w:r w:rsidR="00AE2AF2">
        <w:t>coming</w:t>
      </w:r>
      <w:r w:rsidR="00F21FD5">
        <w:t xml:space="preserve"> through celebrity culture, particularly through the rise of trans</w:t>
      </w:r>
      <w:r w:rsidR="00C425DC">
        <w:t xml:space="preserve">gender </w:t>
      </w:r>
      <w:r w:rsidR="00F21FD5">
        <w:t>celebrities such as Caitlyn Jenner, Laverne Cox and Chaz Bono</w:t>
      </w:r>
      <w:r w:rsidR="00AE2AF2">
        <w:t xml:space="preserve"> </w:t>
      </w:r>
      <w:r w:rsidR="003C1231">
        <w:fldChar w:fldCharType="begin" w:fldLock="1"/>
      </w:r>
      <w:r w:rsidR="001A14AD">
        <w:instrText>ADDIN CSL_CITATION {"citationItems":[{"id":"ITEM-1","itemData":{"ISBN":"9780199325351","ISSN":"10949054","abstract":"Bail talks about an increasing awareness of transgender culture, issues, and experiences. In popular culture, trans celebrities such as Laverne Cox, Chaz Bono, and Janet Mock have been a part of this shift, often acting as celebrity spokespeople to increase understanding of trans issues. Even with the greater visibility of trans lives in popular culture, ongoing court battles like G.G. v. Gloucester County School Board (a US case centered on trans students' rights to use communal bathrooms congruent with their gender) demonstrate the need for greater understanding and acceptance.","author":[{"dropping-particle":"","family":"Bail","given":"Jeannie","non-dropping-particle":"","parse-names":false,"suffix":""},{"dropping-particle":"","family":"Craig","given":"Ailsa","non-dropping-particle":"","parse-names":false,"suffix":""}],"container-title":"Reference &amp; User Services Quarterly","id":"ITEM-1","issue":"4","issued":{"date-parts":[["2017"]]},"page":"249-254","title":"Transgender culture and resources","type":"article-journal","volume":"56"},"uris":["http://www.mendeley.com/documents/?uuid=e79e6429-fd14-3bc4-b44f-845aa82d71c0"]}],"mendeley":{"formattedCitation":"(Bail &amp; Craig, 2017)","plainTextFormattedCitation":"(Bail &amp; Craig, 2017)","previouslyFormattedCitation":"(Bail &amp; Craig, 2017)"},"properties":{"noteIndex":0},"schema":"https://github.com/citation-style-language/schema/raw/master/csl-citation.json"}</w:instrText>
      </w:r>
      <w:r w:rsidR="003C1231">
        <w:fldChar w:fldCharType="separate"/>
      </w:r>
      <w:r w:rsidR="003C1231" w:rsidRPr="003C1231">
        <w:rPr>
          <w:noProof/>
        </w:rPr>
        <w:t>(Bail &amp; Craig, 2017)</w:t>
      </w:r>
      <w:r w:rsidR="003C1231">
        <w:fldChar w:fldCharType="end"/>
      </w:r>
      <w:r w:rsidR="00F21FD5">
        <w:t xml:space="preserve">. </w:t>
      </w:r>
      <w:r w:rsidR="00676187">
        <w:t xml:space="preserve">As a society we need to be wary of attaching ‘a single story’ </w:t>
      </w:r>
      <w:r w:rsidR="00676187">
        <w:fldChar w:fldCharType="begin" w:fldLock="1"/>
      </w:r>
      <w:r w:rsidR="00676187">
        <w:instrText>ADDIN CSL_CITATION {"citationItems":[{"id":"ITEM-1","itemData":{"DOI":"10.5860/rusq.54n1.20","ISSN":"1094-9054","abstract":"Oct 2009","author":[{"dropping-particle":"","family":"Adichi","given":"Chimanada Ngozi","non-dropping-particle":"","parse-names":false,"suffix":""}],"container-title":"TEDGlobal","id":"ITEM-1","issued":{"date-parts":[["2009"]]},"page":"1-6","title":"The danger of a single story","type":"article-journal"},"uris":["http://www.mendeley.com/documents/?uuid=d0e80514-b1d4-4d4d-9d5c-ee548837948a"]}],"mendeley":{"formattedCitation":"(Adichi, 2009)","plainTextFormattedCitation":"(Adichi, 2009)","previouslyFormattedCitation":"(Adichi, 2009)"},"properties":{"noteIndex":0},"schema":"https://github.com/citation-style-language/schema/raw/master/csl-citation.json"}</w:instrText>
      </w:r>
      <w:r w:rsidR="00676187">
        <w:fldChar w:fldCharType="separate"/>
      </w:r>
      <w:r w:rsidR="00676187" w:rsidRPr="00676187">
        <w:rPr>
          <w:noProof/>
        </w:rPr>
        <w:t>(Adichi, 2009)</w:t>
      </w:r>
      <w:r w:rsidR="00676187">
        <w:fldChar w:fldCharType="end"/>
      </w:r>
      <w:r w:rsidR="00676187">
        <w:t xml:space="preserve"> based off this sampling of celebrity as well as of the portrayal of transgender peoples in television and media </w:t>
      </w:r>
      <w:r w:rsidR="00676187">
        <w:fldChar w:fldCharType="begin" w:fldLock="1"/>
      </w:r>
      <w:r w:rsidR="00EA78F1">
        <w:instrText>ADDIN CSL_CITATION {"citationItems":[{"id":"ITEM-1","itemData":{"DOI":"10.1007/s11199-017-0816-1","ISSN":"15732762","abstract":"Numerous studies have demonstrated the power of entertainment narratives to influence attitudes and behaviors; fewer have examined the effects of TV portrayals on attitudes toward marginalized groups. The present study is among the first to explore how entertainment narratives depicting transgender individuals influence viewers’ attitudes toward transgender people and related policies. The study examines the impact of exposure to a TV storyline on Royal Pains (USA Network) and cumulative effects of viewing other TV series featuring transgender individuals. An online survey of 488 U.S. viewers of Royal Pains was conducted (391 had seen the relevant episode). ANCOVAs revealed exposure to both the Royal Pains’ storyline and other storylines portraying transgender individuals were associated with more supportive attitudes toward transgender people and policies. Mediation models revealed that for viewers of the Royal Pains’ storyline, the relationships between political ideology and attitudes toward transgender people and policies were mediated by identification with the main characters and the emotion of hope. Disgust mediated viewers’ attitudes toward transgender people, but not policies. Post hoc analyses revealed that exposure to transgender narratives reduced the influence of viewers’ political ideology on their attitudes. The attitudes of more conservative viewers became increasingly positive as they saw more media portrayals of transgender individuals. These findings highlight the potential for entertainment narratives to influence attitudes toward marginalized groups, and they demonstrate the importance of emotion in the context of divisive topics. Social, political, and public health implications are discussed. © 2017 Springer Science+Business Media, LLC","author":[{"dropping-particle":"","family":"Gillig","given":"Traci K","non-dropping-particle":"","parse-names":false,"suffix":""},{"dropping-particle":"","family":"Rosenthal","given":"Erica L","non-dropping-particle":"","parse-names":false,"suffix":""},{"dropping-particle":"","family":"Murphy","given":"Sheila T","non-dropping-particle":"","parse-names":false,"suffix":""},{"dropping-particle":"","family":"Folb","given":"Kate Langrall","non-dropping-particle":"","parse-names":false,"suffix":""}],"container-title":"Sex Roles","id":"ITEM-1","issue":"7-8","issued":{"date-parts":[["2018"]]},"page":"515-527","title":"More than a media moment: The influence of televised storylines on viewers’ attitudes toward transgender people and policies","type":"article-journal","volume":"78"},"uris":["http://www.mendeley.com/documents/?uuid=993d6abd-18b1-379f-800a-0eda62f4214e"]}],"mendeley":{"formattedCitation":"(Gillig, Rosenthal, Murphy, &amp; Folb, 2018)","plainTextFormattedCitation":"(Gillig, Rosenthal, Murphy, &amp; Folb, 2018)","previouslyFormattedCitation":"(Gillig, Rosenthal, Murphy, &amp; Folb, 2018)"},"properties":{"noteIndex":0},"schema":"https://github.com/citation-style-language/schema/raw/master/csl-citation.json"}</w:instrText>
      </w:r>
      <w:r w:rsidR="00676187">
        <w:fldChar w:fldCharType="separate"/>
      </w:r>
      <w:r w:rsidR="00676187" w:rsidRPr="00676187">
        <w:rPr>
          <w:noProof/>
        </w:rPr>
        <w:t>(Gillig, Rosenthal, Murphy, &amp; Folb, 2018)</w:t>
      </w:r>
      <w:r w:rsidR="00676187">
        <w:fldChar w:fldCharType="end"/>
      </w:r>
      <w:r w:rsidR="00676187">
        <w:t xml:space="preserve">. </w:t>
      </w:r>
      <w:r w:rsidR="00FE682C">
        <w:t xml:space="preserve">The Human Rights Campaign (2019) refers to transgender, or trans, as </w:t>
      </w:r>
      <w:r w:rsidR="006F0B37">
        <w:t xml:space="preserve">an umbrella term that encompasses all </w:t>
      </w:r>
      <w:r w:rsidR="00505D67">
        <w:t xml:space="preserve">peoples who identify as </w:t>
      </w:r>
      <w:r w:rsidR="006F0B37">
        <w:t>a gender that is different from the sex assigned at birth</w:t>
      </w:r>
      <w:r w:rsidR="00737CBE">
        <w:t>, this</w:t>
      </w:r>
      <w:r w:rsidR="00191923">
        <w:t xml:space="preserve"> </w:t>
      </w:r>
      <w:r w:rsidR="006F0B37">
        <w:t>includes</w:t>
      </w:r>
      <w:r w:rsidR="00191923">
        <w:t>, but is not limited to,</w:t>
      </w:r>
      <w:r w:rsidR="006F0B37">
        <w:t xml:space="preserve"> people who identify as </w:t>
      </w:r>
      <w:r w:rsidR="00506755">
        <w:t>“</w:t>
      </w:r>
      <w:r w:rsidR="00505D67">
        <w:t>transsexual</w:t>
      </w:r>
      <w:r w:rsidR="00506755">
        <w:t>”</w:t>
      </w:r>
      <w:r w:rsidR="00505D67">
        <w:t>,</w:t>
      </w:r>
      <w:r w:rsidR="00506755">
        <w:t xml:space="preserve"> “nonbinary” </w:t>
      </w:r>
      <w:r w:rsidR="00737CBE">
        <w:t>and/</w:t>
      </w:r>
      <w:r w:rsidR="00506755">
        <w:t>or “agender.” The process of changing gender is known as “transition.” Some transgender</w:t>
      </w:r>
      <w:r w:rsidR="00A61257">
        <w:t xml:space="preserve"> </w:t>
      </w:r>
      <w:r w:rsidR="00506755">
        <w:t>people chose to transition socially while others do not</w:t>
      </w:r>
      <w:r w:rsidR="009B299C">
        <w:t xml:space="preserve">. </w:t>
      </w:r>
      <w:r w:rsidR="006F0B37">
        <w:t xml:space="preserve">Usually transgender people are categorized as Male-to-Female (MTF) or Female-to-Male; however, there is a growing number of people who prefer to identify somewhere between male and female. </w:t>
      </w:r>
      <w:r w:rsidR="00904F67">
        <w:t>People who identify as transgender are young and old and from a wide variety of ethnic backgrounds</w:t>
      </w:r>
      <w:r w:rsidR="00BA5830">
        <w:t xml:space="preserve">; furthermore, </w:t>
      </w:r>
      <w:r w:rsidR="00904F67">
        <w:t>identifying as transgender is independent of sexual orientation</w:t>
      </w:r>
      <w:r w:rsidR="00BA5830">
        <w:t xml:space="preserve"> (Human Rights Campaign,</w:t>
      </w:r>
      <w:r w:rsidR="00512E76">
        <w:t xml:space="preserve"> 2019</w:t>
      </w:r>
      <w:r w:rsidR="00BA5830">
        <w:t>)</w:t>
      </w:r>
      <w:r w:rsidR="00904F67">
        <w:t xml:space="preserve">. </w:t>
      </w:r>
      <w:r w:rsidR="00236268">
        <w:t>Ultimately</w:t>
      </w:r>
      <w:r w:rsidR="00904F67">
        <w:t>, they are a group of peoples who identify through common</w:t>
      </w:r>
      <w:r w:rsidR="009B299C">
        <w:t>alities in their</w:t>
      </w:r>
      <w:r w:rsidR="00904F67">
        <w:t xml:space="preserve"> stories and experiences</w:t>
      </w:r>
      <w:r w:rsidR="00BA5830">
        <w:t>.</w:t>
      </w:r>
      <w:r w:rsidR="005E0355">
        <w:t xml:space="preserve"> </w:t>
      </w:r>
    </w:p>
    <w:p w14:paraId="33B85073" w14:textId="77777777" w:rsidR="00B47DE3" w:rsidRDefault="00B47DE3" w:rsidP="00FE682C">
      <w:pPr>
        <w:spacing w:line="480" w:lineRule="auto"/>
        <w:ind w:firstLine="720"/>
      </w:pPr>
    </w:p>
    <w:p w14:paraId="7D17907B" w14:textId="77777777" w:rsidR="00B47DE3" w:rsidRDefault="005E0355" w:rsidP="00B47DE3">
      <w:pPr>
        <w:spacing w:line="480" w:lineRule="auto"/>
        <w:rPr>
          <w:b/>
        </w:rPr>
      </w:pPr>
      <w:r w:rsidRPr="00DE0C6B">
        <w:rPr>
          <w:b/>
        </w:rPr>
        <w:t>Considerations for Educators</w:t>
      </w:r>
    </w:p>
    <w:p w14:paraId="43E75A8B" w14:textId="235CC42F" w:rsidR="00126341" w:rsidRPr="00EA78F1" w:rsidRDefault="005E0355" w:rsidP="00EA78F1">
      <w:pPr>
        <w:spacing w:line="480" w:lineRule="auto"/>
        <w:ind w:firstLine="720"/>
      </w:pPr>
      <w:r>
        <w:t xml:space="preserve">Deep seeded societal biases have made it difficult for many people who identify as transgender to feel safe at work and at school, and as educators, it is necessary that we are sensitive to the complexities of transgender culture and how it can impact students in a variety of contexts.  </w:t>
      </w:r>
      <w:r w:rsidR="00126341">
        <w:t xml:space="preserve">Elischberger, Glazier, Hill and Verduzco-Baker (2016) researched the </w:t>
      </w:r>
      <w:r w:rsidR="00211074">
        <w:t>attitudes</w:t>
      </w:r>
      <w:r w:rsidR="00126341">
        <w:t xml:space="preserve"> of adults towards transgender</w:t>
      </w:r>
      <w:r w:rsidR="00A61257">
        <w:t xml:space="preserve"> </w:t>
      </w:r>
      <w:r w:rsidR="00126341">
        <w:t xml:space="preserve">children and </w:t>
      </w:r>
      <w:r w:rsidR="004E2735">
        <w:t>adolescents</w:t>
      </w:r>
      <w:r w:rsidR="00EA78F1">
        <w:t>. Their research showed</w:t>
      </w:r>
      <w:r w:rsidR="00126341">
        <w:t xml:space="preserve"> there are still many adults, </w:t>
      </w:r>
      <w:r w:rsidR="00630AA7">
        <w:t>particularly</w:t>
      </w:r>
      <w:r w:rsidR="00126341">
        <w:t xml:space="preserve"> those with religious and conservative background</w:t>
      </w:r>
      <w:r w:rsidR="00BB6774">
        <w:t>s</w:t>
      </w:r>
      <w:r w:rsidR="00126341">
        <w:t xml:space="preserve">, who displayed less </w:t>
      </w:r>
      <w:r w:rsidR="006E28B5">
        <w:t xml:space="preserve">than </w:t>
      </w:r>
      <w:r w:rsidR="00BB6774">
        <w:t xml:space="preserve">favourable </w:t>
      </w:r>
      <w:r w:rsidR="00126341">
        <w:t>views</w:t>
      </w:r>
      <w:r w:rsidR="006E28B5">
        <w:t xml:space="preserve">. However, </w:t>
      </w:r>
      <w:r w:rsidR="00126341">
        <w:t xml:space="preserve">the majority of </w:t>
      </w:r>
      <w:r w:rsidR="00B06C58">
        <w:t>respondents</w:t>
      </w:r>
      <w:r w:rsidR="00126341">
        <w:t xml:space="preserve"> expressed generally positive attitudes towards </w:t>
      </w:r>
      <w:r w:rsidR="00A55EBA">
        <w:t>transgender</w:t>
      </w:r>
      <w:r w:rsidR="00126341">
        <w:t xml:space="preserve"> youth</w:t>
      </w:r>
      <w:r w:rsidR="00EA78F1">
        <w:t xml:space="preserve"> </w:t>
      </w:r>
      <w:r w:rsidR="00EA78F1">
        <w:fldChar w:fldCharType="begin" w:fldLock="1"/>
      </w:r>
      <w:r w:rsidR="00EA78F1">
        <w:instrText>ADDIN CSL_CITATION {"citationItems":[{"id":"ITEM-1","itemData":{"DOI":"10.1007/s11199-016-0609-y","ISSN":"15732762","abstract":"The present survey study examined the attitudes of U.S. adults toward transgender children and adolescents, as well as their behavioral intentions, in two hypothetical scenarios involving gender variant youth. Participants recruited online (N = 281) reported generally favorable attitudes toward transgender minors, but expressed some hesitation to allow a transgender child to use the restroom aligned with their gender as opposed to their birth sex or to share a room with same gender peers on a school trip, possibly due to conflating gender identity with sexual orientation in these situations. Attitudes were less positive in respondents who reported a religious affiliation, conservative social political views, and stronger conformity to certain traditional gender norms—particularly in men. Even after controlling for these factors, stronger belief in environmental versus biological causes of transgender identity was linked to more negative attitudes. Participants’ behavioral intentions were driven partly by their attitudes and causal attributions, but also by their age and, at least for women, personal connections to the transgender community. We discuss implications for the discourse surrounding transgender youth and the need for educating the public on the development of gender identity as well as the difference between gender identity and sexual orientation. © 2016 Springer Science+Business Media New York","author":[{"dropping-particle":"","family":"Elischberger","given":"Holger B","non-dropping-particle":"","parse-names":false,"suffix":""},{"dropping-particle":"","family":"Glazier","given":"Jessica J","non-dropping-particle":"","parse-names":false,"suffix":""},{"dropping-particle":"","family":"Hill","given":"Eric D","non-dropping-particle":"","parse-names":false,"suffix":""},{"dropping-particle":"","family":"Verduzco-Baker","given":"Lynn","non-dropping-particle":"","parse-names":false,"suffix":""}],"container-title":"Sex Roles","id":"ITEM-1","issue":"5-6","issued":{"date-parts":[["2016"]]},"page":"197-214","title":"“Boys don’t cry”—or do they? Adult attitudes toward and beliefs about transgender youth","type":"article-journal","volume":"75"},"uris":["http://www.mendeley.com/documents/?uuid=713e5fd8-d3ff-3e4b-8a5b-fd1bf2471011"]}],"mendeley":{"formattedCitation":"(Elischberger, Glazier, Hill, &amp; Verduzco-Baker, 2016)","plainTextFormattedCitation":"(Elischberger, Glazier, Hill, &amp; Verduzco-Baker, 2016)","previouslyFormattedCitation":"(Elischberger, Glazier, Hill, &amp; Verduzco-Baker, 2016)"},"properties":{"noteIndex":0},"schema":"https://github.com/citation-style-language/schema/raw/master/csl-citation.json"}</w:instrText>
      </w:r>
      <w:r w:rsidR="00EA78F1">
        <w:fldChar w:fldCharType="separate"/>
      </w:r>
      <w:r w:rsidR="00EA78F1" w:rsidRPr="00EA78F1">
        <w:rPr>
          <w:noProof/>
        </w:rPr>
        <w:t>(Elischberger, Glazier, Hill, &amp; Verduzco-Baker, 2016)</w:t>
      </w:r>
      <w:r w:rsidR="00EA78F1">
        <w:fldChar w:fldCharType="end"/>
      </w:r>
      <w:r w:rsidR="00126341">
        <w:t xml:space="preserve">. </w:t>
      </w:r>
      <w:r w:rsidR="006E28B5">
        <w:t>The</w:t>
      </w:r>
      <w:r w:rsidR="00EA78F1">
        <w:t xml:space="preserve">y </w:t>
      </w:r>
      <w:r w:rsidR="006E28B5">
        <w:t xml:space="preserve">concluded that, </w:t>
      </w:r>
      <w:r w:rsidR="00126341">
        <w:t>“</w:t>
      </w:r>
      <w:r w:rsidR="006E28B5">
        <w:t>i</w:t>
      </w:r>
      <w:r w:rsidR="00126341" w:rsidRPr="00C7798F">
        <w:t xml:space="preserve">f attitudes toward same-sex attraction are anything to go by (and the research presented in </w:t>
      </w:r>
      <w:r w:rsidR="00C1052B">
        <w:t>[their]</w:t>
      </w:r>
      <w:r w:rsidR="00126341" w:rsidRPr="00C7798F">
        <w:t xml:space="preserve"> paper provides ample reason to believe that they are), attitudes toward transgender children and adolescents are likely to become</w:t>
      </w:r>
      <w:r w:rsidR="00126341">
        <w:t xml:space="preserve"> more accepting as well” </w:t>
      </w:r>
      <w:r w:rsidR="00126341">
        <w:fldChar w:fldCharType="begin" w:fldLock="1"/>
      </w:r>
      <w:r w:rsidR="00EA78F1">
        <w:instrText>ADDIN CSL_CITATION {"citationItems":[{"id":"ITEM-1","itemData":{"DOI":"10.1007/s11199-016-0609-y","ISSN":"15732762","abstract":"The present survey study examined the attitudes of U.S. adults toward transgender children and adolescents, as well as their behavioral intentions, in two hypothetical scenarios involving gender variant youth. Participants recruited online (N = 281) reported generally favorable attitudes toward transgender minors, but expressed some hesitation to allow a transgender child to use the restroom aligned with their gender as opposed to their birth sex or to share a room with same gender peers on a school trip, possibly due to conflating gender identity with sexual orientation in these situations. Attitudes were less positive in respondents who reported a religious affiliation, conservative social political views, and stronger conformity to certain traditional gender norms—particularly in men. Even after controlling for these factors, stronger belief in environmental versus biological causes of transgender identity was linked to more negative attitudes. Participants’ behavioral intentions were driven partly by their attitudes and causal attributions, but also by their age and, at least for women, personal connections to the transgender community. We discuss implications for the discourse surrounding transgender youth and the need for educating the public on the development of gender identity as well as the difference between gender identity and sexual orientation. © 2016 Springer Science+Business Media New York","author":[{"dropping-particle":"","family":"Elischberger","given":"Holger B","non-dropping-particle":"","parse-names":false,"suffix":""},{"dropping-particle":"","family":"Glazier","given":"Jessica J","non-dropping-particle":"","parse-names":false,"suffix":""},{"dropping-particle":"","family":"Hill","given":"Eric D","non-dropping-particle":"","parse-names":false,"suffix":""},{"dropping-particle":"","family":"Verduzco-Baker","given":"Lynn","non-dropping-particle":"","parse-names":false,"suffix":""}],"container-title":"Sex Roles","id":"ITEM-1","issue":"5-6","issued":{"date-parts":[["2016"]]},"page":"197-214","title":"“Boys don’t cry”—or do they? Adult attitudes toward and beliefs about transgender youth","type":"article-journal","volume":"75"},"locator":"212","uris":["http://www.mendeley.com/documents/?uuid=713e5fd8-d3ff-3e4b-8a5b-fd1bf2471011"]}],"mendeley":{"formattedCitation":"(Elischberger et al., 2016, p. 212)","plainTextFormattedCitation":"(Elischberger et al., 2016, p. 212)","previouslyFormattedCitation":"(Elischberger et al., 2016, p. 212)"},"properties":{"noteIndex":0},"schema":"https://github.com/citation-style-language/schema/raw/master/csl-citation.json"}</w:instrText>
      </w:r>
      <w:r w:rsidR="00126341">
        <w:fldChar w:fldCharType="separate"/>
      </w:r>
      <w:r w:rsidR="00EA78F1" w:rsidRPr="00EA78F1">
        <w:rPr>
          <w:noProof/>
        </w:rPr>
        <w:t>(Elischberger et al., 2016, p. 212)</w:t>
      </w:r>
      <w:r w:rsidR="00126341">
        <w:fldChar w:fldCharType="end"/>
      </w:r>
      <w:r w:rsidR="00126341">
        <w:t>.</w:t>
      </w:r>
      <w:r w:rsidR="00EA78F1">
        <w:t xml:space="preserve"> </w:t>
      </w:r>
      <w:r w:rsidR="00126341">
        <w:t xml:space="preserve">In British Columbia, recent policies and strategies have been put into </w:t>
      </w:r>
      <w:r w:rsidR="00C4447F">
        <w:t>place</w:t>
      </w:r>
      <w:r w:rsidR="00126341">
        <w:t xml:space="preserve"> to </w:t>
      </w:r>
      <w:r w:rsidR="00906600">
        <w:t>help</w:t>
      </w:r>
      <w:r w:rsidR="00126341">
        <w:t xml:space="preserve"> create inclusive, safe </w:t>
      </w:r>
      <w:r w:rsidR="0096678A">
        <w:t>environments</w:t>
      </w:r>
      <w:r w:rsidR="00126341">
        <w:t xml:space="preserve"> for students at school. However, research by Ng, Haines-Saah, Knight, Saher, and Johnson (</w:t>
      </w:r>
      <w:r w:rsidR="001A14AD">
        <w:fldChar w:fldCharType="begin" w:fldLock="1"/>
      </w:r>
      <w:r w:rsidR="001A14AD">
        <w:instrText>ADDIN CSL_CITATION {"citationItems":[{"id":"ITEM-1","itemData":{"DOI":"10.1177/1363459317715776","ISSN":"14617196","abstract":"In Canada, the issue of creating safe and inclusive school environments for lesbian, gay, bisexual, transgender, and queer students has been in the spotlight. Several researchers and advocates have pointed out the positive effects of lesbian, gay, bisexual, transgender, and queer-positive policy frameworks on the health and wellbeing of all young people. In this article, we take a critical approach to analyzing narrative findings from qualitative interviews conducted with youth in three communities in British Columbia, Canada: \"the North,\" Vancouver, and Abbotsford. Using a Foucauldian Discourse Analytic Approach and Butler's concept of Citationality, our analysis suggested that although explicit homophobia","author":[{"dropping-particle":"","family":"Ng","given":"Cara Ky","non-dropping-particle":"","parse-names":false,"suffix":""},{"dropping-particle":"","family":"Haines-Saah","given":"Rebecca J","non-dropping-particle":"","parse-names":false,"suffix":""},{"dropping-particle":"","family":"Knight","given":"Rodney E","non-dropping-particle":"","parse-names":false,"suffix":""},{"dropping-particle":"","family":"Shoveller","given":"Jean A","non-dropping-particle":"","parse-names":false,"suffix":""},{"dropping-particle":"","family":"Johnson","given":"Joy L","non-dropping-particle":"","parse-names":false,"suffix":""}],"container-title":"Health","id":"ITEM-1","issue":"1","issued":{"date-parts":[["2019"]]},"page":"39-57","title":"“It’s not my business”: Exploring heteronormativity in young people’s discourses about lesbian, gay, bisexual, transgender, and queer issues and their implications for youth health and wellbeing","type":"article-journal","volume":"23"},"uris":["http://www.mendeley.com/documents/?uuid=9cba423a-31f9-3b07-afb1-925702ec2f79"]}],"mendeley":{"formattedCitation":"(Ng, Haines-Saah, Knight, Shoveller, &amp; Johnson, 2019)","manualFormatting":"2019)","plainTextFormattedCitation":"(Ng, Haines-Saah, Knight, Shoveller, &amp; Johnson, 2019)","previouslyFormattedCitation":"(Ng, Haines-Saah, Knight, Shoveller, &amp; Johnson, 2019)"},"properties":{"noteIndex":0},"schema":"https://github.com/citation-style-language/schema/raw/master/csl-citation.json"}</w:instrText>
      </w:r>
      <w:r w:rsidR="001A14AD">
        <w:fldChar w:fldCharType="separate"/>
      </w:r>
      <w:r w:rsidR="001A14AD" w:rsidRPr="001A14AD">
        <w:rPr>
          <w:noProof/>
        </w:rPr>
        <w:t>2019)</w:t>
      </w:r>
      <w:r w:rsidR="001A14AD">
        <w:fldChar w:fldCharType="end"/>
      </w:r>
      <w:r w:rsidR="00126341">
        <w:t xml:space="preserve"> in British Columbia points out that </w:t>
      </w:r>
      <w:r w:rsidR="00126341" w:rsidRPr="005A6FB4">
        <w:t>﻿</w:t>
      </w:r>
      <w:r w:rsidR="00126341">
        <w:t>“</w:t>
      </w:r>
      <w:r w:rsidR="00126341" w:rsidRPr="005A6FB4">
        <w:t>while change and acceptance among this generation may be highly touted, many youth—perhaps unknowingly— express viewpoints that uphold heteronormativity</w:t>
      </w:r>
      <w:r w:rsidR="00126341">
        <w:t xml:space="preserve">”(p. 53). </w:t>
      </w:r>
      <w:r w:rsidR="00EA78F1">
        <w:t>However,</w:t>
      </w:r>
      <w:r w:rsidR="00126341">
        <w:t xml:space="preserve"> they are in strong support of the direction with which British Columbia is taking to create robust policy frameworks to support the LGBQT community, which includes students who identify as transgender</w:t>
      </w:r>
      <w:r w:rsidR="00EA78F1">
        <w:t xml:space="preserve"> </w:t>
      </w:r>
      <w:r w:rsidR="00EA78F1">
        <w:fldChar w:fldCharType="begin" w:fldLock="1"/>
      </w:r>
      <w:r w:rsidR="00EA78F1">
        <w:instrText>ADDIN CSL_CITATION {"citationItems":[{"id":"ITEM-1","itemData":{"DOI":"10.1177/1363459317715776","ISSN":"14617196","abstract":"In Canada, the issue of creating safe and inclusive school environments for lesbian, gay, bisexual, transgender, and queer students has been in the spotlight. Several researchers and advocates have pointed out the positive effects of lesbian, gay, bisexual, transgender, and queer-positive policy frameworks on the health and wellbeing of all young people. In this article, we take a critical approach to analyzing narrative findings from qualitative interviews conducted with youth in three communities in British Columbia, Canada: \"the North,\" Vancouver, and Abbotsford. Using a Foucauldian Discourse Analytic Approach and Butler's concept of Citationality, our analysis suggested that although explicit homophobia","author":[{"dropping-particle":"","family":"Ng","given":"Cara Ky","non-dropping-particle":"","parse-names":false,"suffix":""},{"dropping-particle":"","family":"Haines-Saah","given":"Rebecca J","non-dropping-particle":"","parse-names":false,"suffix":""},{"dropping-particle":"","family":"Knight","given":"Rodney E","non-dropping-particle":"","parse-names":false,"suffix":""},{"dropping-particle":"","family":"Shoveller","given":"Jean A","non-dropping-particle":"","parse-names":false,"suffix":""},{"dropping-particle":"","family":"Johnson","given":"Joy L","non-dropping-particle":"","parse-names":false,"suffix":""}],"container-title":"Health","id":"ITEM-1","issue":"1","issued":{"date-parts":[["2019"]]},"page":"39-57","title":"“It’s not my business”: Exploring heteronormativity in young people’s discourses about lesbian, gay, bisexual, transgender, and queer issues and their implications for youth health and wellbeing","type":"article-journal","volume":"23"},"uris":["http://www.mendeley.com/documents/?uuid=9cba423a-31f9-3b07-afb1-925702ec2f79"]}],"mendeley":{"formattedCitation":"(Ng et al., 2019)","plainTextFormattedCitation":"(Ng et al., 2019)"},"properties":{"noteIndex":0},"schema":"https://github.com/citation-style-language/schema/raw/master/csl-citation.json"}</w:instrText>
      </w:r>
      <w:r w:rsidR="00EA78F1">
        <w:fldChar w:fldCharType="separate"/>
      </w:r>
      <w:r w:rsidR="00EA78F1" w:rsidRPr="00EA78F1">
        <w:rPr>
          <w:noProof/>
        </w:rPr>
        <w:t>(Ng et al., 2019)</w:t>
      </w:r>
      <w:r w:rsidR="00EA78F1">
        <w:fldChar w:fldCharType="end"/>
      </w:r>
      <w:r w:rsidR="00126341">
        <w:t xml:space="preserve">. </w:t>
      </w:r>
    </w:p>
    <w:p w14:paraId="57141A83" w14:textId="13FB1C7A" w:rsidR="00D4190B" w:rsidRDefault="007D68B2" w:rsidP="00DE0C6B">
      <w:pPr>
        <w:spacing w:line="480" w:lineRule="auto"/>
        <w:ind w:firstLine="720"/>
      </w:pPr>
      <w:r>
        <w:t>M</w:t>
      </w:r>
      <w:r w:rsidR="005015C4">
        <w:t>edia discussion around transgender youth in schools</w:t>
      </w:r>
      <w:r w:rsidR="00584C14">
        <w:t xml:space="preserve"> usually centers around bathroom use; however, these media headlines mask a greater issue of acceptance and tolerance.</w:t>
      </w:r>
      <w:r w:rsidR="007A2C28">
        <w:t xml:space="preserve"> </w:t>
      </w:r>
      <w:r w:rsidR="007A2C28">
        <w:fldChar w:fldCharType="begin" w:fldLock="1"/>
      </w:r>
      <w:r w:rsidR="00D313C9">
        <w:instrText>ADDIN CSL_CITATION {"citationItems":[{"id":"ITEM-1","itemData":{"DOI":"10.3390/socsci6010011","abstract":"Trans people—and particularly trans youth—have come to the forefront of political and educational discussions, especially as legislation has aimed to ensure that school personnel act as enforcers of state-level policies targeting trans youth. For this reason, and because research demonstrates that youth in schools form attachments to and receive support from school personnel, our research looks at school personnel’s development as allies. By analyzing focus group data following a training workshop, we explore how participants understand their roles as allies to trans and gender non-conforming youth. We found that trans issues were salient and participants expressed new knowledge about and openness towards transgender youth, as well as care and concern for their wellbeing. Nonetheless, many participants retained frames of understanding that relied on trans people as Other and that situated their roles as allies through the frameworks of protection and care. We argue that these understandings of trans youth and the role of allies reinforces cisnormativity, and we push for a more nuanced understanding of allyship that moves beyond knowledge, beliefs, attitudes and intended behaviors as markers of allyship to ensure that allies do not reproduce cisnormativity even in their support of trans and gender non-conforming youth.","author":[{"dropping-particle":"","family":"Marx","given":"Robert","non-dropping-particle":"","parse-names":false,"suffix":""},{"dropping-particle":"","family":"Roberts","given":"Leah","non-dropping-particle":"","parse-names":false,"suffix":""},{"dropping-particle":"","family":"Nixon","given":"Carol","non-dropping-particle":"","parse-names":false,"suffix":""}],"container-title":"Social Sciences","id":"ITEM-1","issue":"1","issued":{"date-parts":[["2017"]]},"page":"11","title":"When care and concern are not enough: School personnel’s development as allies for trans and gender non-conforming students","type":"article-journal","volume":"6"},"uris":["http://www.mendeley.com/documents/?uuid=1988ce78-a437-301e-8703-34ce2df5bfbc"]}],"mendeley":{"formattedCitation":"(Marx, Roberts, &amp; Nixon, 2017)","plainTextFormattedCitation":"(Marx, Roberts, &amp; Nixon, 2017)","previouslyFormattedCitation":"(Marx, Roberts, &amp; Nixon, 2017)"},"properties":{"noteIndex":0},"schema":"https://github.com/citation-style-language/schema/raw/master/csl-citation.json"}</w:instrText>
      </w:r>
      <w:r w:rsidR="007A2C28">
        <w:fldChar w:fldCharType="separate"/>
      </w:r>
      <w:r w:rsidR="007A2C28" w:rsidRPr="007A2C28">
        <w:rPr>
          <w:noProof/>
        </w:rPr>
        <w:t xml:space="preserve">(Marx, </w:t>
      </w:r>
      <w:r w:rsidR="007A2C28" w:rsidRPr="007A2C28">
        <w:rPr>
          <w:noProof/>
        </w:rPr>
        <w:lastRenderedPageBreak/>
        <w:t>Roberts, &amp; Nixon, 2017)</w:t>
      </w:r>
      <w:r w:rsidR="007A2C28">
        <w:fldChar w:fldCharType="end"/>
      </w:r>
      <w:r w:rsidR="005015C4">
        <w:t>.</w:t>
      </w:r>
      <w:r w:rsidR="00EA40E1">
        <w:t xml:space="preserve"> </w:t>
      </w:r>
      <w:r w:rsidR="005015C4">
        <w:t>Rands</w:t>
      </w:r>
      <w:r w:rsidR="00501F75">
        <w:t>’</w:t>
      </w:r>
      <w:r w:rsidR="005015C4">
        <w:t xml:space="preserve"> </w:t>
      </w:r>
      <w:r w:rsidR="008553B1">
        <w:fldChar w:fldCharType="begin" w:fldLock="1"/>
      </w:r>
      <w:r w:rsidR="007A2C28">
        <w:instrText>ADDIN CSL_CITATION {"citationItems":[{"id":"ITEM-1","itemData":{"DOI":"10.1177/0022487109341475","ISSN":"0022-4871","abstract":"Schools serve as a setting in which students come to understand gender, but transgender students (those who transgress societal gender norms) are largely left out of discussions of education. The high level of harassment that transgender students face poses sizable obstacles to school success. If the field of education is committed to equity and social justice, then teacher education programs must prepare educators to teach gender in more complex ways that take into consideration the existence and needs of transgender people. This article is intended to begin the discussion of transgender issues in teacher education by providing a rationale for why teacher educators need to care about transgender issues, presenting definitions of basic terms and concepts related to gender and transgender, offering a new framework for understanding gender privilege and oppression, and examining three previously proposed or existing types of gender education and proposing gender-complex education as an alternative, and exploring possibilities for gender-complex teacher education.","author":[{"dropping-particle":"","family":"Rands","given":"Kathleen E.","non-dropping-particle":"","parse-names":false,"suffix":""}],"container-title":"Journal of Teacher Education","id":"ITEM-1","issue":"4","issued":{"date-parts":[["2009","9","2"]]},"page":"419-431","publisher":"SAGE Publications","title":"Considering transgender people in education","type":"article-journal","volume":"60"},"uris":["http://www.mendeley.com/documents/?uuid=871507f4-9b38-3f3a-9f10-45b599930c05"]}],"mendeley":{"formattedCitation":"(Rands, 2009)","manualFormatting":"(2009)","plainTextFormattedCitation":"(Rands, 2009)","previouslyFormattedCitation":"(Rands, 2009)"},"properties":{"noteIndex":0},"schema":"https://github.com/citation-style-language/schema/raw/master/csl-citation.json"}</w:instrText>
      </w:r>
      <w:r w:rsidR="008553B1">
        <w:fldChar w:fldCharType="separate"/>
      </w:r>
      <w:r w:rsidR="008553B1" w:rsidRPr="008553B1">
        <w:rPr>
          <w:noProof/>
        </w:rPr>
        <w:t>(2009)</w:t>
      </w:r>
      <w:r w:rsidR="008553B1">
        <w:fldChar w:fldCharType="end"/>
      </w:r>
      <w:r w:rsidR="005015C4">
        <w:t xml:space="preserve"> </w:t>
      </w:r>
      <w:r w:rsidR="00501F75">
        <w:t>research points out</w:t>
      </w:r>
      <w:r w:rsidR="00B62EE5">
        <w:t xml:space="preserve"> that acceptance at school needs to start with educators. She goes on to state that educations needs to go beyond a gender sensitive model, working towards awareness of “t</w:t>
      </w:r>
      <w:r w:rsidR="00141B58" w:rsidRPr="00141B58">
        <w:t>he ways in which the gender oppression matrix and heterosexism work in tandem to privilege certain groups of people and oppress others</w:t>
      </w:r>
      <w:r w:rsidR="009E0A91">
        <w:t>”</w:t>
      </w:r>
      <w:r w:rsidR="009E0A91">
        <w:fldChar w:fldCharType="begin" w:fldLock="1"/>
      </w:r>
      <w:r w:rsidR="003B7A49">
        <w:instrText>ADDIN CSL_CITATION {"citationItems":[{"id":"ITEM-1","itemData":{"DOI":"10.1177/0022487109341475","ISSN":"0022-4871","abstract":"Schools serve as a setting in which students come to understand gender, but transgender students (those who transgress societal gender norms) are largely left out of discussions of education. The high level of harassment that transgender students face poses sizable obstacles to school success. If the field of education is committed to equity and social justice, then teacher education programs must prepare educators to teach gender in more complex ways that take into consideration the existence and needs of transgender people. This article is intended to begin the discussion of transgender issues in teacher education by providing a rationale for why teacher educators need to care about transgender issues, presenting definitions of basic terms and concepts related to gender and transgender, offering a new framework for understanding gender privilege and oppression, and examining three previously proposed or existing types of gender education and proposing gender-complex education as an alternative, and exploring possibilities for gender-complex teacher education.","author":[{"dropping-particle":"","family":"Rands","given":"Kathleen E.","non-dropping-particle":"","parse-names":false,"suffix":""}],"container-title":"Journal of Teacher Education","id":"ITEM-1","issue":"4","issued":{"date-parts":[["2009","9","2"]]},"page":"419-431","publisher":"SAGE Publications","title":"Considering transgender people in education","type":"article-journal","volume":"60"},"locator":"427","uris":["http://www.mendeley.com/documents/?uuid=871507f4-9b38-3f3a-9f10-45b599930c05"]}],"mendeley":{"formattedCitation":"(Rands, 2009, p. 427)","plainTextFormattedCitation":"(Rands, 2009, p. 427)","previouslyFormattedCitation":"(Rands, 2009, p. 427)"},"properties":{"noteIndex":0},"schema":"https://github.com/citation-style-language/schema/raw/master/csl-citation.json"}</w:instrText>
      </w:r>
      <w:r w:rsidR="009E0A91">
        <w:fldChar w:fldCharType="separate"/>
      </w:r>
      <w:r w:rsidR="009E0A91" w:rsidRPr="009E0A91">
        <w:rPr>
          <w:noProof/>
        </w:rPr>
        <w:t>(Rands, 2009, p. 427)</w:t>
      </w:r>
      <w:r w:rsidR="009E0A91">
        <w:fldChar w:fldCharType="end"/>
      </w:r>
      <w:r w:rsidR="00141B58" w:rsidRPr="00141B58">
        <w:t>.</w:t>
      </w:r>
      <w:r w:rsidR="00141B58">
        <w:t xml:space="preserve"> </w:t>
      </w:r>
      <w:r w:rsidR="008379CB">
        <w:t>Ultimately,</w:t>
      </w:r>
      <w:r w:rsidR="009E0A91">
        <w:t xml:space="preserve"> we need to </w:t>
      </w:r>
      <w:r w:rsidR="00B76F65">
        <w:t>do</w:t>
      </w:r>
      <w:r w:rsidR="009E0A91">
        <w:t xml:space="preserve"> a better job prepar</w:t>
      </w:r>
      <w:r w:rsidR="008379CB">
        <w:t>ing</w:t>
      </w:r>
      <w:r w:rsidR="00B76F65">
        <w:t xml:space="preserve"> current and</w:t>
      </w:r>
      <w:r w:rsidR="009E0A91">
        <w:t xml:space="preserve"> new teachers for the diverse gender landscape</w:t>
      </w:r>
      <w:r w:rsidR="00EA78F1">
        <w:t xml:space="preserve"> </w:t>
      </w:r>
      <w:r w:rsidR="009E0A91">
        <w:t>in our schools</w:t>
      </w:r>
      <w:r w:rsidR="001B7546">
        <w:t xml:space="preserve"> </w:t>
      </w:r>
    </w:p>
    <w:p w14:paraId="6E98328E" w14:textId="06DCAAC7" w:rsidR="00C6681B" w:rsidRDefault="00F21FD5" w:rsidP="008801FD">
      <w:pPr>
        <w:spacing w:line="480" w:lineRule="auto"/>
        <w:ind w:firstLine="720"/>
      </w:pPr>
      <w:r>
        <w:t>Everyday families</w:t>
      </w:r>
      <w:r w:rsidR="00B76F65">
        <w:t xml:space="preserve"> in our schools</w:t>
      </w:r>
      <w:r>
        <w:t xml:space="preserve">, that cross ethnic, socio-economical, and religious groups are being impacted by transgender family members who are brave enough to </w:t>
      </w:r>
      <w:r w:rsidR="009319F5">
        <w:t>live their best life</w:t>
      </w:r>
      <w:r>
        <w:t>.</w:t>
      </w:r>
      <w:r w:rsidR="00475BFB">
        <w:t xml:space="preserve"> O</w:t>
      </w:r>
      <w:r>
        <w:t>ne of my closest friends, Michelle Smith</w:t>
      </w:r>
      <w:r w:rsidRPr="00A61257">
        <w:rPr>
          <w:rStyle w:val="FootnoteReference"/>
        </w:rPr>
        <w:footnoteReference w:customMarkFollows="1" w:id="1"/>
        <w:t>1</w:t>
      </w:r>
      <w:r w:rsidR="00475BFB">
        <w:t>,</w:t>
      </w:r>
      <w:r>
        <w:t xml:space="preserve"> has allowed me to share parts of her personal connection to transgender culture. Four years ago, her father called her to let her know that he identified as transgender and that he was transitioning from male to female. This was a shock to Michelle, and as a mother of three of her own children, she was uncertain of how to navigate this new reality for herself and her family. In the past four years, Michelle has struggled with how she sees herself now, in light of her father’s transition. It took Michelle three years to tell her own children, </w:t>
      </w:r>
      <w:r w:rsidR="00EA78F1">
        <w:t xml:space="preserve">and </w:t>
      </w:r>
      <w:r w:rsidR="00BB31DC">
        <w:t xml:space="preserve">she is now </w:t>
      </w:r>
      <w:r>
        <w:t xml:space="preserve">helping them come to </w:t>
      </w:r>
      <w:r w:rsidR="00EA78F1">
        <w:t xml:space="preserve">an </w:t>
      </w:r>
      <w:r>
        <w:t>unders</w:t>
      </w:r>
      <w:r w:rsidR="00B80BEC">
        <w:t>tandi</w:t>
      </w:r>
      <w:r>
        <w:t xml:space="preserve">ng </w:t>
      </w:r>
      <w:r w:rsidR="00EA78F1">
        <w:t xml:space="preserve">of </w:t>
      </w:r>
      <w:r>
        <w:t>the complexities of their new family dynamic (M</w:t>
      </w:r>
      <w:r w:rsidR="007A63E7">
        <w:t>.</w:t>
      </w:r>
      <w:r>
        <w:t xml:space="preserve"> Smith, personal communication, May 201</w:t>
      </w:r>
      <w:r w:rsidR="007A63E7">
        <w:t>9</w:t>
      </w:r>
      <w:r>
        <w:t>)</w:t>
      </w:r>
      <w:r w:rsidRPr="00F21FD5">
        <w:rPr>
          <w:rFonts w:ascii="Georgia" w:hAnsi="Georgia"/>
          <w:color w:val="333333"/>
          <w:shd w:val="clear" w:color="auto" w:fill="FFFFFF"/>
        </w:rPr>
        <w:t xml:space="preserve">. </w:t>
      </w:r>
      <w:r>
        <w:t xml:space="preserve">Michelle’s story and others like it demonstrate that as educators, we need to be sensitive to the complexity of transgender culture and how it may weave through our classrooms in less obvious ways. </w:t>
      </w:r>
    </w:p>
    <w:p w14:paraId="3B82FBFA" w14:textId="7BCC4034" w:rsidR="00AA48A4" w:rsidRPr="008801FD" w:rsidRDefault="00AA48A4" w:rsidP="008801FD">
      <w:pPr>
        <w:spacing w:line="480" w:lineRule="auto"/>
        <w:jc w:val="center"/>
        <w:rPr>
          <w:b/>
        </w:rPr>
      </w:pPr>
      <w:r w:rsidRPr="008801FD">
        <w:rPr>
          <w:b/>
        </w:rPr>
        <w:t>Refugees</w:t>
      </w:r>
    </w:p>
    <w:p w14:paraId="0955F53B" w14:textId="77777777" w:rsidR="0038013A" w:rsidRDefault="00977F0F" w:rsidP="007B592F">
      <w:pPr>
        <w:spacing w:line="480" w:lineRule="auto"/>
        <w:ind w:firstLine="720"/>
      </w:pPr>
      <w:r>
        <w:t xml:space="preserve">The United Nations High </w:t>
      </w:r>
      <w:r w:rsidR="00A96484">
        <w:t>Commissioner</w:t>
      </w:r>
      <w:r>
        <w:t xml:space="preserve"> for Refugees (UNHCR) </w:t>
      </w:r>
      <w:r w:rsidR="00884444">
        <w:t xml:space="preserve">defines refugees as persons, both children and adults, who are residing outside their countries and cannot return due to well-founded fear of </w:t>
      </w:r>
      <w:r w:rsidR="008077F9">
        <w:t>persecution</w:t>
      </w:r>
      <w:r w:rsidR="00884444">
        <w:t xml:space="preserve"> </w:t>
      </w:r>
      <w:r w:rsidR="00AB07C9">
        <w:t>due to</w:t>
      </w:r>
      <w:r w:rsidR="00884444">
        <w:t xml:space="preserve"> race, religion, nationality, political opinion, </w:t>
      </w:r>
      <w:r w:rsidR="00AB07C9">
        <w:t xml:space="preserve">war, </w:t>
      </w:r>
      <w:r w:rsidR="00884444">
        <w:t xml:space="preserve">or </w:t>
      </w:r>
      <w:r w:rsidR="00884444">
        <w:lastRenderedPageBreak/>
        <w:t>membership in a particular social group</w:t>
      </w:r>
      <w:r w:rsidR="009507DE">
        <w:t xml:space="preserve"> </w:t>
      </w:r>
      <w:r w:rsidR="009507DE">
        <w:fldChar w:fldCharType="begin" w:fldLock="1"/>
      </w:r>
      <w:r w:rsidR="003C1231">
        <w:instrText>ADDIN CSL_CITATION {"citationItems":[{"id":"ITEM-1","itemData":{"author":[{"dropping-particle":"","family":"UNHCR","given":"","non-dropping-particle":"","parse-names":false,"suffix":""}],"container-title":"Convetion and protocol relating to the status of refugees","id":"ITEM-1","issued":{"date-parts":[["2010"]]},"number-of-pages":"1-52","title":"Convention and protocol relating to the status of refugees","type":"report"},"uris":["http://www.mendeley.com/documents/?uuid=237d31c5-03ff-49d5-81b8-de80941e4cdc"]}],"mendeley":{"formattedCitation":"(UNHCR, 2010)","plainTextFormattedCitation":"(UNHCR, 2010)","previouslyFormattedCitation":"(UNHCR, 2010)"},"properties":{"noteIndex":0},"schema":"https://github.com/citation-style-language/schema/raw/master/csl-citation.json"}</w:instrText>
      </w:r>
      <w:r w:rsidR="009507DE">
        <w:fldChar w:fldCharType="separate"/>
      </w:r>
      <w:r w:rsidR="009577A3" w:rsidRPr="009577A3">
        <w:rPr>
          <w:noProof/>
        </w:rPr>
        <w:t>(UNHCR, 2010)</w:t>
      </w:r>
      <w:r w:rsidR="009507DE">
        <w:fldChar w:fldCharType="end"/>
      </w:r>
      <w:r w:rsidR="00884444">
        <w:t xml:space="preserve">. </w:t>
      </w:r>
      <w:r w:rsidR="0089571C">
        <w:t xml:space="preserve">According to </w:t>
      </w:r>
      <w:r w:rsidR="005C3182" w:rsidRPr="005C3182">
        <w:t>﻿UNHCR</w:t>
      </w:r>
      <w:r w:rsidR="0062462E">
        <w:t xml:space="preserve"> (2019)</w:t>
      </w:r>
      <w:r w:rsidR="007E78CB">
        <w:t xml:space="preserve"> </w:t>
      </w:r>
      <w:r w:rsidR="0066368F">
        <w:t xml:space="preserve">there </w:t>
      </w:r>
      <w:r w:rsidR="00FA4E1F">
        <w:t xml:space="preserve">are approximately 25.4 million refugees in the world right now, with over half of them being under the age of 18. </w:t>
      </w:r>
      <w:r w:rsidR="00C12818">
        <w:t xml:space="preserve">Over 57.2% of the world’s refugees come from </w:t>
      </w:r>
      <w:r w:rsidR="0050343A">
        <w:t xml:space="preserve">three countries: Sudan, </w:t>
      </w:r>
      <w:r w:rsidR="00B47FC0">
        <w:t>Afghanistan</w:t>
      </w:r>
      <w:r w:rsidR="0050343A">
        <w:t>, and Syria</w:t>
      </w:r>
      <w:r w:rsidR="0096093A">
        <w:t xml:space="preserve"> </w:t>
      </w:r>
      <w:r w:rsidR="0096093A">
        <w:fldChar w:fldCharType="begin" w:fldLock="1"/>
      </w:r>
      <w:r w:rsidR="003C1231">
        <w:instrText>ADDIN CSL_CITATION {"citationItems":[{"id":"ITEM-1","itemData":{"author":[{"dropping-particle":"","family":"UNHCR","given":"","non-dropping-particle":"","parse-names":false,"suffix":""}],"id":"ITEM-1","issued":{"date-parts":[["2017"]]},"number-of-pages":"1-76","title":"Global trends: Forced displacement in 2017","type":"report"},"uris":["http://www.mendeley.com/documents/?uuid=941c45e5-8d44-4d3e-abb6-46cc576516fb"]}],"mendeley":{"formattedCitation":"(UNHCR, 2017)","plainTextFormattedCitation":"(UNHCR, 2017)","previouslyFormattedCitation":"(UNHCR, 2017)"},"properties":{"noteIndex":0},"schema":"https://github.com/citation-style-language/schema/raw/master/csl-citation.json"}</w:instrText>
      </w:r>
      <w:r w:rsidR="0096093A">
        <w:fldChar w:fldCharType="separate"/>
      </w:r>
      <w:r w:rsidR="009577A3" w:rsidRPr="009577A3">
        <w:rPr>
          <w:noProof/>
        </w:rPr>
        <w:t>(UNHCR, 2017)</w:t>
      </w:r>
      <w:r w:rsidR="0096093A">
        <w:fldChar w:fldCharType="end"/>
      </w:r>
      <w:r w:rsidR="00073E10">
        <w:t xml:space="preserve">. </w:t>
      </w:r>
      <w:r w:rsidR="00ED6142" w:rsidRPr="002C620C">
        <w:t>﻿</w:t>
      </w:r>
      <w:r w:rsidR="00ED6142">
        <w:t>“</w:t>
      </w:r>
      <w:r w:rsidR="00ED6142" w:rsidRPr="002C620C">
        <w:t>The movement of people is a shared global issue, and as immigration policies around the world become increasingly restrictive, more and more people are forced to live with a precarious immigration status</w:t>
      </w:r>
      <w:r w:rsidR="004A2EF4">
        <w:t>”</w:t>
      </w:r>
      <w:r w:rsidR="00F22F06">
        <w:fldChar w:fldCharType="begin" w:fldLock="1"/>
      </w:r>
      <w:r w:rsidR="006F7A8A">
        <w:instrText>ADDIN CSL_CITATION {"citationItems":[{"id":"ITEM-1","itemData":{"DOI":"10.1111/ijsw.12110","ISSN":"14682397","abstract":"Various waves of asylum seekers and resettled refugees arriving in Canada since the 1980s reflect the eruption of war and ethnic conflicts in parts of Africa, Central America, and South East Asia. Contrary to long-established immigrant communities such as the Greeks, Italians, and Portuguese, these newcomers have had to fend for themselves and develop their own support networks, leading to new forms of organizing and to the formation of refugee community organizations (RCOs). This article discusses the findings of a 2008-2011 study on RCOs in Canada, specifically in Montreal and Winnipeg. The objective of the study was to understand the context in which RCOs have developed, the populations they serve, and the role they play in their ethnic communities. Working within the RCO paradigm, we analyze the creation of these organizations, contrast findings with research done in the UK, and raise issues for social work practice. Key Practitioner Message: . Innovative research in Canada documenting refugee community organizations gives fresh insight regarding community organizing practice; . Documents the situation of asylum seekers and refugees on an individual and a collective basis in terms of needs; . Focuses on the necessity of building bridges with refugee organizations to bring them into the mainstream.","author":[{"dropping-particle":"","family":"Lacroix","given":"Marie","non-dropping-particle":"","parse-names":false,"suffix":""},{"dropping-particle":"","family":"Baffoe","given":"Michael","non-dropping-particle":"","parse-names":false,"suffix":""},{"dropping-particle":"","family":"Liguori","given":"Marilena","non-dropping-particle":"","parse-names":false,"suffix":""}],"container-title":"International Journal of Social Welfare","id":"ITEM-1","issue":"1","issued":{"date-parts":[["2015"]]},"note":"looks at refugee community organizations in winnipeg and montreal","page":"62-72","title":"Refugee community organizations in Canada: From the margins to the mainstream? A challenge and opportunity for social workers","type":"article-journal","volume":"24"},"locator":"70","uris":["http://www.mendeley.com/documents/?uuid=ea82d6d0-9afd-4648-aeb8-ca21b9277fe2"]}],"mendeley":{"formattedCitation":"(Lacroix, Baffoe, &amp; Liguori, 2015, p. 70)","plainTextFormattedCitation":"(Lacroix, Baffoe, &amp; Liguori, 2015, p. 70)","previouslyFormattedCitation":"(Lacroix, Baffoe, &amp; Liguori, 2015, p. 70)"},"properties":{"noteIndex":0},"schema":"https://github.com/citation-style-language/schema/raw/master/csl-citation.json"}</w:instrText>
      </w:r>
      <w:r w:rsidR="00F22F06">
        <w:fldChar w:fldCharType="separate"/>
      </w:r>
      <w:r w:rsidR="00F22F06" w:rsidRPr="00F22F06">
        <w:rPr>
          <w:noProof/>
        </w:rPr>
        <w:t>(Lacroix, Baffoe, &amp; Liguori, 2015, p. 70)</w:t>
      </w:r>
      <w:r w:rsidR="00F22F06">
        <w:fldChar w:fldCharType="end"/>
      </w:r>
      <w:r w:rsidR="00ED6142" w:rsidRPr="002C620C">
        <w:t xml:space="preserve">. </w:t>
      </w:r>
      <w:r w:rsidR="00F22F06">
        <w:t xml:space="preserve">As a result, </w:t>
      </w:r>
      <w:r w:rsidR="00ED6142" w:rsidRPr="002C620C">
        <w:t>refugees remain one of the most vulnerable groups</w:t>
      </w:r>
      <w:r w:rsidR="00F22F06">
        <w:t xml:space="preserve"> of peoples in the world</w:t>
      </w:r>
      <w:r w:rsidR="00ED6142" w:rsidRPr="002C620C">
        <w:t>.</w:t>
      </w:r>
      <w:r w:rsidR="00F22F06">
        <w:t xml:space="preserve"> </w:t>
      </w:r>
    </w:p>
    <w:p w14:paraId="2090D80F" w14:textId="271FD5C4" w:rsidR="002B6BE7" w:rsidRDefault="004A3311" w:rsidP="0038013A">
      <w:pPr>
        <w:spacing w:line="480" w:lineRule="auto"/>
        <w:ind w:firstLine="720"/>
      </w:pPr>
      <w:r>
        <w:t xml:space="preserve"> A portion of the world’s refugees find themselves in Canada. </w:t>
      </w:r>
      <w:r w:rsidR="0038013A">
        <w:t xml:space="preserve">Refugees are admitted into Canada primarily on humanitarian grounds, unlike immigrants, who must demonstrate an ability to establish economic stability </w:t>
      </w:r>
      <w:r w:rsidR="0038013A">
        <w:fldChar w:fldCharType="begin" w:fldLock="1"/>
      </w:r>
      <w:r w:rsidR="0038013A">
        <w:instrText>ADDIN CSL_CITATION {"citationItems":[{"id":"ITEM-1","itemData":{"ISSN":"02295113","abstract":"While a fairly large body of empirical research and policy documents exists on immigrant integration in Canada, sttidies on refugee integration are scarce. This paper at- tempts to fill this gap. ¡t summarizes what is known about refugees' economic and socio-cultural integration patterns in Canada and what integration services are available to them in order to identify empirical biowledgegaps and service gaps. Whenever salient and possible, the distinc- tion among the Government-Assisted Refugees, Privately Sponsored Refugees, Landed-in-Canada Refugees and refugee claimants is made.","author":[{"dropping-particle":"","family":"Yu","given":"Soojin","non-dropping-particle":"","parse-names":false,"suffix":""},{"dropping-particle":"","family":"Ouellet","given":"Estelle","non-dropping-particle":"","parse-names":false,"suffix":""},{"dropping-particle":"","family":"Warmington","given":"Angelyn","non-dropping-particle":"","parse-names":false,"suffix":""}],"container-title":"Refuge","id":"ITEM-1","issue":"2","issued":{"date-parts":[["2007"]]},"note":"Refugees are admitted into Canada primarily on humanitarian grounds, unlike immigrants, who must demonstrate an ability to establish economic stability. THerefore, because refugees are admitted into Canada primarily because of need, their patterns of integration are different than those of immigrants. In addition, &amp;quot;circumstances surrounding refugees' migration are likely to be much more traumatic than voluntary immigrants, which may impact their integrations patterns and call for specialized integration services, such as counselling and mental health care&amp;quot;. p.18\n\nSection 4 of Yu, Oullet, Warmington (2007) provides a comprehensive list of resources and agencies that refugees may access across Canada. ALthough this list is over 10 years old, most of the agencies are still in place and working towards making integration into Canadian life easier for refugees.","page":"17-34","title":"Refugee integration in Canada: A survey of empirical evidence and existing services","type":"article-journal","volume":"24"},"uris":["http://www.mendeley.com/documents/?uuid=8075013e-b29f-338b-9980-ebb3bac13787"]}],"mendeley":{"formattedCitation":"(Yu, Ouellet, &amp; Warmington, 2007)","plainTextFormattedCitation":"(Yu, Ouellet, &amp; Warmington, 2007)","previouslyFormattedCitation":"(Yu, Ouellet, &amp; Warmington, 2007)"},"properties":{"noteIndex":0},"schema":"https://github.com/citation-style-language/schema/raw/master/csl-citation.json"}</w:instrText>
      </w:r>
      <w:r w:rsidR="0038013A">
        <w:fldChar w:fldCharType="separate"/>
      </w:r>
      <w:r w:rsidR="0038013A" w:rsidRPr="00A66BEB">
        <w:rPr>
          <w:noProof/>
        </w:rPr>
        <w:t>(Yu, Ouellet, &amp; Warmington, 2007)</w:t>
      </w:r>
      <w:r w:rsidR="0038013A">
        <w:fldChar w:fldCharType="end"/>
      </w:r>
      <w:r w:rsidR="0038013A">
        <w:t>. Therefore, becaus</w:t>
      </w:r>
      <w:r w:rsidR="00467938">
        <w:t xml:space="preserve">e </w:t>
      </w:r>
      <w:r w:rsidR="0038013A">
        <w:t xml:space="preserve">refugees are admitted into Canada because of need, their patterns of integration are different than those of immigrants. </w:t>
      </w:r>
      <w:r w:rsidR="00467938">
        <w:t xml:space="preserve">It’s important to remember, that </w:t>
      </w:r>
      <w:r w:rsidR="00B70A9F">
        <w:t>“</w:t>
      </w:r>
      <w:r w:rsidR="00467938">
        <w:t>r</w:t>
      </w:r>
      <w:r w:rsidR="00B70A9F">
        <w:t>efugee children who come to Canada are moving to a country with a different culture, alphabet, food, traditions, principal religion, official languages, and laws. Given these differences, their postmigration experiences have the potential to be highly disorienting and stressful</w:t>
      </w:r>
      <w:r w:rsidR="003358C3">
        <w:t>”</w:t>
      </w:r>
      <w:r w:rsidR="00AA2FBA">
        <w:fldChar w:fldCharType="begin" w:fldLock="1"/>
      </w:r>
      <w:r w:rsidR="006B7D9A">
        <w:instrText>ADDIN CSL_CITATION {"citationItems":[{"id":"ITEM-1","itemData":{"DOI":"10.1037/cap0000102","ISSN":"07085591","abstract":"Canada has accepted over 35,000 Syrian refugees since November 2015; just under half of these refugees are under the age of 15 (Government of Canada, 2016; United Nations High Commissioner for Refugees, 2016). This paper reviews the current literature on the pre- and postarrival mental health of refugee children and adolescents to determine (a) whether children and adolescents are liable to be suffering from serious mental health difficulties relating to prearrival trauma that will hamper their future well-being and integration into Canadian society and (b) how the well-being of young refugees in Canada can best be promoted. We particularly focus on how postmigration factors may impact the mental health of child and adolescent refugees. This review has implications for both policy and practice, with a need to concentrate services on those young people who are most vulnerable. (PsycINFO Database Record (c) 2017 APA, all rights reserved)","author":[{"dropping-particle":"","family":"Hadfield","given":"Kristin","non-dropping-particle":"","parse-names":false,"suffix":""},{"dropping-particle":"","family":"Ostrowski","given":"Aly","non-dropping-particle":"","parse-names":false,"suffix":""},{"dropping-particle":"","family":"Ungar","given":"Michael","non-dropping-particle":"","parse-names":false,"suffix":""}],"container-title":"Canadian Psychology","id":"ITEM-1","issue":"2","issued":{"date-parts":[["2017"]]},"page":"194-201","title":"What can we expect of the mental health and well-being of Syrian refugee children and adolescents in Canada?","type":"article-journal","volume":"58"},"locator":"195","uris":["http://www.mendeley.com/documents/?uuid=6459d5c5-c791-3a13-906b-557a24a223ba"]}],"mendeley":{"formattedCitation":"(Hadfield, Ostrowski, &amp; Ungar, 2017, p. 195)","plainTextFormattedCitation":"(Hadfield, Ostrowski, &amp; Ungar, 2017, p. 195)","previouslyFormattedCitation":"(Hadfield, Ostrowski, &amp; Ungar, 2017, p. 195)"},"properties":{"noteIndex":0},"schema":"https://github.com/citation-style-language/schema/raw/master/csl-citation.json"}</w:instrText>
      </w:r>
      <w:r w:rsidR="00AA2FBA">
        <w:fldChar w:fldCharType="separate"/>
      </w:r>
      <w:r w:rsidR="00AA2FBA" w:rsidRPr="00AA2FBA">
        <w:rPr>
          <w:noProof/>
        </w:rPr>
        <w:t>(Hadfield, Ostrowski, &amp; Ungar, 2017, p. 195)</w:t>
      </w:r>
      <w:r w:rsidR="00AA2FBA">
        <w:fldChar w:fldCharType="end"/>
      </w:r>
      <w:r w:rsidR="00AA2FBA">
        <w:t>.</w:t>
      </w:r>
      <w:r w:rsidR="00D044F9">
        <w:t xml:space="preserve"> </w:t>
      </w:r>
      <w:r w:rsidR="00161C22">
        <w:t>In addition, "circumstances surrounding refugees' migration are likely to be much more traumatic than voluntary immigrants, which may impact their integrations patterns and call for specialized integration services, such as counselling and mental health care"</w:t>
      </w:r>
      <w:r w:rsidR="00F97976">
        <w:fldChar w:fldCharType="begin" w:fldLock="1"/>
      </w:r>
      <w:r w:rsidR="00BD25F8">
        <w:instrText>ADDIN CSL_CITATION {"citationItems":[{"id":"ITEM-1","itemData":{"ISSN":"02295113","abstract":"While a fairly large body of empirical research and policy documents exists on immigrant integration in Canada, sttidies on refugee integration are scarce. This paper at- tempts to fill this gap. ¡t summarizes what is known about refugees' economic and socio-cultural integration patterns in Canada and what integration services are available to them in order to identify empirical biowledgegaps and service gaps. Whenever salient and possible, the distinc- tion among the Government-Assisted Refugees, Privately Sponsored Refugees, Landed-in-Canada Refugees and refugee claimants is made.","author":[{"dropping-particle":"","family":"Yu","given":"Soojin","non-dropping-particle":"","parse-names":false,"suffix":""},{"dropping-particle":"","family":"Ouellet","given":"Estelle","non-dropping-particle":"","parse-names":false,"suffix":""},{"dropping-particle":"","family":"Warmington","given":"Angelyn","non-dropping-particle":"","parse-names":false,"suffix":""}],"container-title":"Refuge","id":"ITEM-1","issue":"2","issued":{"date-parts":[["2007"]]},"note":"Refugees are admitted into Canada primarily on humanitarian grounds, unlike immigrants, who must demonstrate an ability to establish economic stability. THerefore, because refugees are admitted into Canada primarily because of need, their patterns of integration are different than those of immigrants. In addition, &amp;quot;circumstances surrounding refugees' migration are likely to be much more traumatic than voluntary immigrants, which may impact their integrations patterns and call for specialized integration services, such as counselling and mental health care&amp;quot;. p.18\n\nSection 4 of Yu, Oullet, Warmington (2007) provides a comprehensive list of resources and agencies that refugees may access across Canada. ALthough this list is over 10 years old, most of the agencies are still in place and working towards making integration into Canadian life easier for refugees.","page":"17-34","title":"Refugee integration in Canada: A survey of empirical evidence and existing services","type":"article-journal","volume":"24"},"locator":"18","uris":["http://www.mendeley.com/documents/?uuid=8075013e-b29f-338b-9980-ebb3bac13787"]}],"mendeley":{"formattedCitation":"(Yu et al., 2007, p. 18)","plainTextFormattedCitation":"(Yu et al., 2007, p. 18)","previouslyFormattedCitation":"(Yu et al., 2007, p. 18)"},"properties":{"noteIndex":0},"schema":"https://github.com/citation-style-language/schema/raw/master/csl-citation.json"}</w:instrText>
      </w:r>
      <w:r w:rsidR="00F97976">
        <w:fldChar w:fldCharType="separate"/>
      </w:r>
      <w:r w:rsidR="00F97976" w:rsidRPr="00F97976">
        <w:rPr>
          <w:noProof/>
        </w:rPr>
        <w:t>(Yu et al., 2007, p. 18)</w:t>
      </w:r>
      <w:r w:rsidR="00F97976">
        <w:fldChar w:fldCharType="end"/>
      </w:r>
      <w:r w:rsidR="00306C24">
        <w:t>.</w:t>
      </w:r>
      <w:r w:rsidR="001628B4">
        <w:t xml:space="preserve"> </w:t>
      </w:r>
      <w:r w:rsidR="005E00E9">
        <w:t>In Canada, g</w:t>
      </w:r>
      <w:r w:rsidR="0062690D" w:rsidRPr="00FE0E32">
        <w:t>overnment-assisted and privately sponsored refugees</w:t>
      </w:r>
      <w:r w:rsidR="0062690D">
        <w:t xml:space="preserve"> have higher service needs than immigrants regarding how to navigate Canadian life, language, skills training and social networks </w:t>
      </w:r>
      <w:r w:rsidR="0062690D">
        <w:fldChar w:fldCharType="begin" w:fldLock="1"/>
      </w:r>
      <w:r w:rsidR="005E00E9">
        <w:instrText>ADDIN CSL_CITATION {"citationItems":[{"id":"ITEM-1","itemData":{"DOI":"10.1007/s12134-017-0534-0","ISSN":"18746365","abstract":"This paper evaluates the service needs of immigrants and refugees, paying special attention to their entry status, social, and human capital. Analyses are based on administrative data consisting of 2915 clients collected by the YMCA of Western Ontario, Windsor-Essex Branch (YMO). Results reveal that immigrants' and refugees' major service need priorities are (1) government services and language skills, (2) information about Canadian life and access to community services, (3) education and work in Canada, and (4) social and professional networks and community involvement. These service needs varied by the entry status of the immigrant as well as human and social capital. Government-assisted and sponsored refugees identified more service needs than economic immigrants relating to Canadian life, language and skill training, and social networks. Sponsored refugees also identified more needs than the economic immigrants with respect to access to community services and work. Convention refugees' higher service needs over economic immigrants were related to language training and access to community services. Finally, the service needs of clients with higher education, English proficiency, and ethnic networks were lower than those of their counterparts. There are excellent qualitative studies that evaluate settlement needs and preferences of immigrants and refugees (hereafter I&amp;Rs). 1 However, research that evaluates the service needs of I&amp;Rs is rare. Previous studies do not distinguish needs of refugees and immigrants based on their entry status, are generally inattentive to diversity of settlement needs, and pay minimal attention to the importance of I&amp;Rs' human and","author":[{"dropping-particle":"","family":"Nakhaie","given":"M Reza","non-dropping-particle":"","parse-names":false,"suffix":""}],"container-title":"Journal of International Migration and Integration","id":"ITEM-1","issue":"1","issued":{"date-parts":[["2018"]]},"page":"143-160","title":"Service needs of immigrants and refugees","type":"article-journal","volume":"19"},"uris":["http://www.mendeley.com/documents/?uuid=0b2bad85-1f52-3528-9bdf-693e677ee4b6"]}],"mendeley":{"formattedCitation":"(Nakhaie, 2018)","plainTextFormattedCitation":"(Nakhaie, 2018)","previouslyFormattedCitation":"(Nakhaie, 2018)"},"properties":{"noteIndex":0},"schema":"https://github.com/citation-style-language/schema/raw/master/csl-citation.json"}</w:instrText>
      </w:r>
      <w:r w:rsidR="0062690D">
        <w:fldChar w:fldCharType="separate"/>
      </w:r>
      <w:r w:rsidR="0062690D" w:rsidRPr="0062690D">
        <w:rPr>
          <w:noProof/>
        </w:rPr>
        <w:t>(Nakhaie, 2018)</w:t>
      </w:r>
      <w:r w:rsidR="0062690D">
        <w:fldChar w:fldCharType="end"/>
      </w:r>
      <w:r w:rsidR="0062690D">
        <w:t xml:space="preserve">. </w:t>
      </w:r>
      <w:r w:rsidR="005E00E9">
        <w:t>P</w:t>
      </w:r>
      <w:r w:rsidR="00495834">
        <w:t>rograms such as the Privately-</w:t>
      </w:r>
      <w:r w:rsidR="002E0E13">
        <w:t>Sponsored</w:t>
      </w:r>
      <w:r w:rsidR="00495834">
        <w:t xml:space="preserve"> Refugee program</w:t>
      </w:r>
      <w:r w:rsidR="0062690D">
        <w:t xml:space="preserve"> and Neighbourhood Houses in Greater Vancouver</w:t>
      </w:r>
      <w:r w:rsidR="00495834">
        <w:t xml:space="preserve"> </w:t>
      </w:r>
      <w:r w:rsidR="005E00E9">
        <w:t xml:space="preserve">aim to </w:t>
      </w:r>
      <w:r w:rsidR="00495834">
        <w:t>provide connections and links for newcomers to help them navigate the social</w:t>
      </w:r>
      <w:r w:rsidR="0062690D">
        <w:t>, educational and</w:t>
      </w:r>
      <w:r w:rsidR="00495834">
        <w:t xml:space="preserve"> political landscape</w:t>
      </w:r>
      <w:r w:rsidR="0062690D">
        <w:t>s</w:t>
      </w:r>
      <w:r w:rsidR="00495834">
        <w:t xml:space="preserve"> in Canada </w:t>
      </w:r>
      <w:r w:rsidR="007F2946">
        <w:lastRenderedPageBreak/>
        <w:fldChar w:fldCharType="begin" w:fldLock="1"/>
      </w:r>
      <w:r w:rsidR="004D48A2">
        <w:instrText>ADDIN CSL_CITATION {"citationItems":[{"id":"ITEM-1","itemData":{"DOI":"10.17645/si.v6i1.1306","abstract":"This article addresses the critical role that civil society at the urban level plays in integrating and empowering immigrants and minorities in Canadian society. From a place-based approach, it investigates how key agencies in the local community have been instrumental in including immigrants in general and refugees in particular into the fabric of Canadian society. Empirically the analysis focuses on Neighbourhood Houses in Greater Vancouver and the Privately-Sponsored Refugee program in Canada. With the interpretative lens on the urban context, the article shows how immigrants and refugees have gained agency and voice in the public arena through place-based communities. The insight into these two empirical cases provides the basis for conceptualizing the socio-political dynamics of immigrant settlement and integration in terms of the effects generated by urban governance structures.","author":[{"dropping-particle":"","family":"Schmidtke","given":"Oliver","non-dropping-particle":"","parse-names":false,"suffix":""}],"container-title":"Social Inclusion","id":"ITEM-1","issue":"1","issued":{"date-parts":[["2018"]]},"note":"Programs such as the Privately-Sponser Refugee program in Canada provide connections and links for newcomers to help them navigate the social and political landscape in Canada","page":"147","title":"The civil society dynamic of including and empowering refugees in Canada’s urban centres","type":"article-journal","volume":"6"},"uris":["http://www.mendeley.com/documents/?uuid=c30d5d71-39bd-33d9-8b3b-db64ce1e74e6"]}],"mendeley":{"formattedCitation":"(Schmidtke, 2018)","plainTextFormattedCitation":"(Schmidtke, 2018)","previouslyFormattedCitation":"(Schmidtke, 2018)"},"properties":{"noteIndex":0},"schema":"https://github.com/citation-style-language/schema/raw/master/csl-citation.json"}</w:instrText>
      </w:r>
      <w:r w:rsidR="007F2946">
        <w:fldChar w:fldCharType="separate"/>
      </w:r>
      <w:r w:rsidR="007F2946" w:rsidRPr="007F2946">
        <w:rPr>
          <w:noProof/>
        </w:rPr>
        <w:t>(Schmidtke, 2018)</w:t>
      </w:r>
      <w:r w:rsidR="007F2946">
        <w:fldChar w:fldCharType="end"/>
      </w:r>
      <w:r w:rsidR="007F2946">
        <w:t>.</w:t>
      </w:r>
      <w:r w:rsidR="00034DE6">
        <w:t xml:space="preserve"> </w:t>
      </w:r>
      <w:r w:rsidR="00BD25F8">
        <w:t xml:space="preserve">Privately </w:t>
      </w:r>
      <w:r w:rsidR="00B851DA">
        <w:t>sponsored</w:t>
      </w:r>
      <w:r w:rsidR="00BD25F8">
        <w:t xml:space="preserve"> refugees can access various government services, including language training and employment programs; furthermore, school-aged children will attend </w:t>
      </w:r>
      <w:r w:rsidR="007247E8">
        <w:t>public</w:t>
      </w:r>
      <w:r w:rsidR="00BD25F8">
        <w:t xml:space="preserve"> school, and all members of the family are entitled to health care </w:t>
      </w:r>
      <w:r w:rsidR="00BD25F8">
        <w:fldChar w:fldCharType="begin" w:fldLock="1"/>
      </w:r>
      <w:r w:rsidR="004026A5">
        <w:instrText>ADDIN CSL_CITATION {"citationItems":[{"id":"ITEM-1","itemData":{"author":[{"dropping-particle":"","family":"Macklin","given":"Audrey","non-dropping-particle":"","parse-names":false,"suffix":""},{"dropping-particle":"","family":"Barber","given":"Kathryn","non-dropping-particle":"","parse-names":false,"suffix":""},{"dropping-particle":"","family":"Goldring","given":"Luin","non-dropping-particle":"","parse-names":false,"suffix":""},{"dropping-particle":"","family":"Hyndman","given":"Jennifer","non-dropping-particle":"","parse-names":false,"suffix":""},{"dropping-particle":"","family":"Korteweg","given":"Anna","non-dropping-particle":"","parse-names":false,"suffix":""},{"dropping-particle":"","family":"Labman","given":"Shauna","non-dropping-particle":"","parse-names":false,"suffix":""},{"dropping-particle":"","family":"Zyfi","given":"Jona","non-dropping-particle":"","parse-names":false,"suffix":""}],"container-title":"Canadian Ethnic Studies","id":"ITEM-1","issue":"January","issued":{"date-parts":[["2015"]]},"note":"Privately sponsered refugees can access various government services, including language training and employment programs; furthermore, school-aged children will attend publc school, and all members of the family are entitled to health care. However, unlike refugees that are only government sponsered, privately sponsored refugees find themselves typically wrapped around a community of people who have a vested interest in their success and integration.","page":"35-58","title":"A Preliminary investigation into private refugee sponsors","type":"article-journal","volume":"50"},"uris":["http://www.mendeley.com/documents/?uuid=eb0416fe-c5ce-39e2-8102-152ce1e08990"]}],"mendeley":{"formattedCitation":"(Macklin et al., 2015)","plainTextFormattedCitation":"(Macklin et al., 2015)","previouslyFormattedCitation":"(Macklin et al., 2015)"},"properties":{"noteIndex":0},"schema":"https://github.com/citation-style-language/schema/raw/master/csl-citation.json"}</w:instrText>
      </w:r>
      <w:r w:rsidR="00BD25F8">
        <w:fldChar w:fldCharType="separate"/>
      </w:r>
      <w:r w:rsidR="00BD25F8" w:rsidRPr="00BD25F8">
        <w:rPr>
          <w:noProof/>
        </w:rPr>
        <w:t>(Macklin et al., 2015)</w:t>
      </w:r>
      <w:r w:rsidR="00BD25F8">
        <w:fldChar w:fldCharType="end"/>
      </w:r>
      <w:r w:rsidR="00BD25F8">
        <w:t xml:space="preserve">. However, unlike refugees that are only government </w:t>
      </w:r>
      <w:r w:rsidR="00E744CF">
        <w:t>sponsored</w:t>
      </w:r>
      <w:r w:rsidR="00BD25F8">
        <w:t>, privately sponsored refugees find themselves typically wrapped around a community of people who have a vested interest in their success and integration</w:t>
      </w:r>
      <w:r w:rsidR="007F7138">
        <w:t xml:space="preserve"> </w:t>
      </w:r>
      <w:r w:rsidR="004026A5">
        <w:fldChar w:fldCharType="begin" w:fldLock="1"/>
      </w:r>
      <w:r w:rsidR="00583F00">
        <w:instrText>ADDIN CSL_CITATION {"citationItems":[{"id":"ITEM-1","itemData":{"DOI":"10.17645/si.v6i1.1306","abstract":"This article addresses the critical role that civil society at the urban level plays in integrating and empowering immigrants and minorities in Canadian society. From a place-based approach, it investigates how key agencies in the local community have been instrumental in including immigrants in general and refugees in particular into the fabric of Canadian society. Empirically the analysis focuses on Neighbourhood Houses in Greater Vancouver and the Privately-Sponsored Refugee program in Canada. With the interpretative lens on the urban context, the article shows how immigrants and refugees have gained agency and voice in the public arena through place-based communities. The insight into these two empirical cases provides the basis for conceptualizing the socio-political dynamics of immigrant settlement and integration in terms of the effects generated by urban governance structures.","author":[{"dropping-particle":"","family":"Schmidtke","given":"Oliver","non-dropping-particle":"","parse-names":false,"suffix":""}],"container-title":"Social Inclusion","id":"ITEM-1","issue":"1","issued":{"date-parts":[["2018"]]},"note":"Programs such as the Privately-Sponser Refugee program in Canada provide connections and links for newcomers to help them navigate the social and political landscape in Canada","page":"147","title":"The civil society dynamic of including and empowering refugees in Canada’s urban centres","type":"article-journal","volume":"6"},"uris":["http://www.mendeley.com/documents/?uuid=c30d5d71-39bd-33d9-8b3b-db64ce1e74e6"]}],"mendeley":{"formattedCitation":"(Schmidtke, 2018)","plainTextFormattedCitation":"(Schmidtke, 2018)","previouslyFormattedCitation":"(Schmidtke, 2018)"},"properties":{"noteIndex":0},"schema":"https://github.com/citation-style-language/schema/raw/master/csl-citation.json"}</w:instrText>
      </w:r>
      <w:r w:rsidR="004026A5">
        <w:fldChar w:fldCharType="separate"/>
      </w:r>
      <w:r w:rsidR="004026A5" w:rsidRPr="004026A5">
        <w:rPr>
          <w:noProof/>
        </w:rPr>
        <w:t>(Schmidtke, 2018)</w:t>
      </w:r>
      <w:r w:rsidR="004026A5">
        <w:fldChar w:fldCharType="end"/>
      </w:r>
      <w:r w:rsidR="00DA4B9C">
        <w:t>.</w:t>
      </w:r>
      <w:r w:rsidR="002B6BE7">
        <w:t xml:space="preserve"> </w:t>
      </w:r>
    </w:p>
    <w:p w14:paraId="2CDFEEE3" w14:textId="7FE761E0" w:rsidR="001628B4" w:rsidRPr="001628B4" w:rsidRDefault="001628B4" w:rsidP="001628B4">
      <w:pPr>
        <w:spacing w:line="480" w:lineRule="auto"/>
        <w:rPr>
          <w:b/>
        </w:rPr>
      </w:pPr>
      <w:r w:rsidRPr="001628B4">
        <w:rPr>
          <w:b/>
        </w:rPr>
        <w:t>Considerations for Educators</w:t>
      </w:r>
    </w:p>
    <w:p w14:paraId="26095D64" w14:textId="68F9E7BF" w:rsidR="003747C1" w:rsidRDefault="0097792B" w:rsidP="003747C1">
      <w:pPr>
        <w:spacing w:line="480" w:lineRule="auto"/>
        <w:ind w:firstLine="720"/>
      </w:pPr>
      <w:r>
        <w:t xml:space="preserve">The complexities of the refugee experience results in schools and education being an integral part in helping refugees adjust to life in Canada. </w:t>
      </w:r>
      <w:r w:rsidR="00377BD7">
        <w:t xml:space="preserve">As educators, we cannot attach a generic story to all refugees. </w:t>
      </w:r>
      <w:r>
        <w:t>For example, m</w:t>
      </w:r>
      <w:r w:rsidR="00377BD7">
        <w:t>edia headlines can lead to fear that all refugees are terrorists</w:t>
      </w:r>
      <w:r w:rsidR="0085667A">
        <w:t xml:space="preserve"> </w:t>
      </w:r>
      <w:r w:rsidR="00377BD7">
        <w:t xml:space="preserve">trying to sneak into North America. We need to be aware that this is not the case, instead </w:t>
      </w:r>
      <w:r w:rsidR="00382D61">
        <w:t>refuges</w:t>
      </w:r>
      <w:r w:rsidR="00377BD7">
        <w:t xml:space="preserve"> come with</w:t>
      </w:r>
      <w:r w:rsidR="00377BD7" w:rsidRPr="00304A69">
        <w:t xml:space="preserve"> their own personal narratives, expectations, motivations and identities</w:t>
      </w:r>
      <w:r w:rsidR="00377BD7">
        <w:t xml:space="preserve"> </w:t>
      </w:r>
      <w:r w:rsidR="00377BD7">
        <w:fldChar w:fldCharType="begin" w:fldLock="1"/>
      </w:r>
      <w:r w:rsidR="00377BD7">
        <w:instrText>ADDIN CSL_CITATION {"citationItems":[{"id":"ITEM-1","itemData":{"DOI":"10.1353/ces.2018.0012","author":[{"dropping-particle":"","family":"Hynie","given":"Michaela","non-dropping-particle":"","parse-names":false,"suffix":""}],"container-title":"Canadian Ethnic Studies","id":"ITEM-1","issue":"2","issued":{"date-parts":[["2018"]]},"note":"Welcome Refugee initiatve in Canada","page":"1-12","title":"Canada's Syrian refugee program, intergroup relationships and identities","type":"article-journal","volume":"50"},"uris":["http://www.mendeley.com/documents/?uuid=b9eae263-10f6-3acc-adfa-3e95ee450d9a"]}],"mendeley":{"formattedCitation":"(Hynie, 2018)","plainTextFormattedCitation":"(Hynie, 2018)","previouslyFormattedCitation":"(Hynie, 2018)"},"properties":{"noteIndex":0},"schema":"https://github.com/citation-style-language/schema/raw/master/csl-citation.json"}</w:instrText>
      </w:r>
      <w:r w:rsidR="00377BD7">
        <w:fldChar w:fldCharType="separate"/>
      </w:r>
      <w:r w:rsidR="00377BD7" w:rsidRPr="00304A69">
        <w:rPr>
          <w:noProof/>
        </w:rPr>
        <w:t>(Hynie, 2018)</w:t>
      </w:r>
      <w:r w:rsidR="00377BD7">
        <w:fldChar w:fldCharType="end"/>
      </w:r>
      <w:r w:rsidR="00377BD7">
        <w:t xml:space="preserve">. </w:t>
      </w:r>
      <w:r w:rsidR="00EA7B35">
        <w:t>M</w:t>
      </w:r>
      <w:r w:rsidR="00290288">
        <w:t xml:space="preserve">any </w:t>
      </w:r>
      <w:r w:rsidR="004546FD">
        <w:t xml:space="preserve">refugee </w:t>
      </w:r>
      <w:r w:rsidR="00290288">
        <w:t>children have been out of school</w:t>
      </w:r>
      <w:r w:rsidR="00EA7B35">
        <w:t xml:space="preserve"> for a</w:t>
      </w:r>
      <w:r w:rsidR="004546FD">
        <w:t xml:space="preserve"> </w:t>
      </w:r>
      <w:r w:rsidR="00EA7B35">
        <w:t>while</w:t>
      </w:r>
      <w:r w:rsidR="00290288">
        <w:t xml:space="preserve"> or have never been to school</w:t>
      </w:r>
      <w:r w:rsidR="00EA7B35">
        <w:t>; therefore,</w:t>
      </w:r>
      <w:r w:rsidR="00290288">
        <w:t xml:space="preserve"> their period of adjustment to school is longer than that of a child whose family has chosen to immigrate to</w:t>
      </w:r>
      <w:r w:rsidR="004D48A2">
        <w:t xml:space="preserve"> a new country</w:t>
      </w:r>
      <w:r w:rsidR="00290288">
        <w:t xml:space="preserve"> </w:t>
      </w:r>
      <w:r w:rsidR="004D48A2">
        <w:fldChar w:fldCharType="begin" w:fldLock="1"/>
      </w:r>
      <w:r w:rsidR="008724E5">
        <w:instrText>ADDIN CSL_CITATION {"citationItems":[{"id":"ITEM-1","itemData":{"DOI":"10.3102/0002831217714321","ISSN":"0002-8312","abstract":"This study identifies pathways to educational success among refugees. Data are from an original online survey of Somali diaspora and in-depth quali-tative interviews with Somali refugee students educated in the Dadaab refu-gee camps of Kenya. This research builds on Bronfenbrenner's ecological model to consider both the locally and globally situated nature of resources across refugees' ecosystems. Analysis examines the nature and content of student-identified supports and their perceived influence on access to and persistence in school as well as the mediating role of technology. The findings suggest consideration of both locally situated relationships and globally situ-ated relationships as critical educational supports. Implications include leveraging naturally occurring virtual relationships to support educational success of refugees and other young people who are physically isolated from access to needed supports in their local region.","author":[{"dropping-particle":"","family":"Dryden-Peterson","given":"Sarah","non-dropping-particle":"","parse-names":false,"suffix":""},{"dropping-particle":"","family":"Dahya","given":"Negin","non-dropping-particle":"","parse-names":false,"suffix":""},{"dropping-particle":"","family":"Adelman","given":"Elizabeth","non-dropping-particle":"","parse-names":false,"suffix":""}],"container-title":"American Educational Research Journal","id":"ITEM-1","issue":"6","issued":{"date-parts":[["2017"]]},"page":"1011-1047","title":"Pathways to Educational Success Among Refugees: Connecting Locally and Globally Situated Resources","type":"article-journal","volume":"54"},"uris":["http://www.mendeley.com/documents/?uuid=e1112656-f5f6-4b93-b492-d7943d89130a"]}],"mendeley":{"formattedCitation":"(Dryden-Peterson, Dahya, &amp; Adelman, 2017)","plainTextFormattedCitation":"(Dryden-Peterson, Dahya, &amp; Adelman, 2017)","previouslyFormattedCitation":"(Dryden-Peterson, Dahya, &amp; Adelman, 2017)"},"properties":{"noteIndex":0},"schema":"https://github.com/citation-style-language/schema/raw/master/csl-citation.json"}</w:instrText>
      </w:r>
      <w:r w:rsidR="004D48A2">
        <w:fldChar w:fldCharType="separate"/>
      </w:r>
      <w:r w:rsidR="004D48A2" w:rsidRPr="004D48A2">
        <w:rPr>
          <w:noProof/>
        </w:rPr>
        <w:t>(Dryden-Peterson, Dahya, &amp; Adelman, 2017)</w:t>
      </w:r>
      <w:r w:rsidR="004D48A2">
        <w:fldChar w:fldCharType="end"/>
      </w:r>
      <w:r w:rsidR="004D48A2">
        <w:t xml:space="preserve">. </w:t>
      </w:r>
      <w:r w:rsidR="00583F00">
        <w:t xml:space="preserve">Educators need to be mindful of the history of schooling </w:t>
      </w:r>
      <w:r w:rsidR="004546FD">
        <w:t xml:space="preserve">for </w:t>
      </w:r>
      <w:r w:rsidR="00583F00">
        <w:t xml:space="preserve">the child, as well </w:t>
      </w:r>
      <w:r w:rsidR="004546FD">
        <w:t xml:space="preserve">as the story of their journey, </w:t>
      </w:r>
      <w:r w:rsidR="008F4FE6">
        <w:t xml:space="preserve">both of </w:t>
      </w:r>
      <w:r w:rsidR="004546FD">
        <w:t>which may impact their ability to learn. While t</w:t>
      </w:r>
      <w:r w:rsidR="00583F00">
        <w:t>eaching in Edmonton, one of my students was a refugee from Sudan</w:t>
      </w:r>
      <w:r w:rsidR="00B06B7B">
        <w:t xml:space="preserve">. </w:t>
      </w:r>
      <w:r w:rsidR="00583F00">
        <w:t>Upon reading her file and speaking with her father</w:t>
      </w:r>
      <w:r w:rsidR="00574427">
        <w:t xml:space="preserve"> and reading her file</w:t>
      </w:r>
      <w:r w:rsidR="00583F00">
        <w:t>, it was clear that although learning English was a desire, the greater goal was for her to feel safe and</w:t>
      </w:r>
      <w:r w:rsidR="006222B4">
        <w:t xml:space="preserve"> welcomed. </w:t>
      </w:r>
      <w:r w:rsidR="00583F00">
        <w:t xml:space="preserve">Her immediate </w:t>
      </w:r>
      <w:r w:rsidR="007D586B">
        <w:t>“</w:t>
      </w:r>
      <w:r w:rsidR="00583F00">
        <w:t>education</w:t>
      </w:r>
      <w:r w:rsidR="007D586B">
        <w:t xml:space="preserve">” </w:t>
      </w:r>
      <w:r w:rsidR="00583F00">
        <w:t>was about connecting</w:t>
      </w:r>
      <w:r w:rsidR="00574427">
        <w:t xml:space="preserve"> her to other students, building a community around her</w:t>
      </w:r>
      <w:r w:rsidR="00583F00">
        <w:t>.</w:t>
      </w:r>
      <w:r w:rsidR="007D586B">
        <w:t xml:space="preserve"> In most jurisdictions, s</w:t>
      </w:r>
      <w:r w:rsidR="00583F00">
        <w:t>ettlement workers work</w:t>
      </w:r>
      <w:r w:rsidR="0007734A">
        <w:t xml:space="preserve"> </w:t>
      </w:r>
      <w:r w:rsidR="00583F00">
        <w:t xml:space="preserve">closely with </w:t>
      </w:r>
      <w:r w:rsidR="00F169D4">
        <w:t>families</w:t>
      </w:r>
      <w:r w:rsidR="00583F00">
        <w:t xml:space="preserve"> to help them navigate the complexities of all aspects of the school experience. </w:t>
      </w:r>
      <w:r w:rsidR="0007734A">
        <w:t>In this case, a community settlement worker took the</w:t>
      </w:r>
      <w:r w:rsidR="00583F00">
        <w:t xml:space="preserve"> young girl to buy a dress for </w:t>
      </w:r>
      <w:r w:rsidR="00583F00">
        <w:lastRenderedPageBreak/>
        <w:t xml:space="preserve">the elementary school farewell, because that is what all the other girls her age would be doing. </w:t>
      </w:r>
      <w:r w:rsidR="00B271C1">
        <w:t>Most school districts have settlement workers who work closely with schools to help connect them with translators and agencies that can support refugees in telling their story.</w:t>
      </w:r>
      <w:r w:rsidR="00583F00">
        <w:t xml:space="preserve"> </w:t>
      </w:r>
    </w:p>
    <w:p w14:paraId="03ECCFCC" w14:textId="3938B05F" w:rsidR="001F7B22" w:rsidRPr="00124948" w:rsidRDefault="009B76FA" w:rsidP="00B139CA">
      <w:pPr>
        <w:spacing w:line="480" w:lineRule="auto"/>
        <w:jc w:val="center"/>
        <w:rPr>
          <w:b/>
        </w:rPr>
      </w:pPr>
      <w:r w:rsidRPr="00124948">
        <w:rPr>
          <w:b/>
        </w:rPr>
        <w:t>Jehovah</w:t>
      </w:r>
      <w:r w:rsidR="00124948" w:rsidRPr="00124948">
        <w:rPr>
          <w:b/>
        </w:rPr>
        <w:t>’s</w:t>
      </w:r>
      <w:r w:rsidRPr="00124948">
        <w:rPr>
          <w:b/>
        </w:rPr>
        <w:t xml:space="preserve"> Witness</w:t>
      </w:r>
      <w:r w:rsidR="00124948" w:rsidRPr="00124948">
        <w:rPr>
          <w:b/>
        </w:rPr>
        <w:t>es</w:t>
      </w:r>
    </w:p>
    <w:p w14:paraId="3C1AE133" w14:textId="56DD943E" w:rsidR="00E81C81" w:rsidRDefault="009B76FA" w:rsidP="00B910DC">
      <w:pPr>
        <w:spacing w:line="480" w:lineRule="auto"/>
      </w:pPr>
      <w:r>
        <w:tab/>
      </w:r>
      <w:r w:rsidR="00A66063">
        <w:t>My Grandmother, a devout Catholic, was famous in the town of Rossland for always inviting Jehovah’s Witnesses into her home for a cup of tea. Her logic</w:t>
      </w:r>
      <w:r w:rsidR="00E81C81">
        <w:t xml:space="preserve"> being, that she could not dispute and/or truly understand </w:t>
      </w:r>
      <w:r w:rsidR="00A86B5E">
        <w:t>someone’s</w:t>
      </w:r>
      <w:r w:rsidR="00E81C81">
        <w:t xml:space="preserve"> beliefs if she didn’t spend time learning their stories. Furthermore, she would say we are all </w:t>
      </w:r>
      <w:r w:rsidR="00C14C38">
        <w:t>‘</w:t>
      </w:r>
      <w:r w:rsidR="00E81C81">
        <w:t>just people who enjoy sharing a cup of tea once and awhile just</w:t>
      </w:r>
      <w:r w:rsidR="005F0112">
        <w:t xml:space="preserve"> to</w:t>
      </w:r>
      <w:r w:rsidR="00E81C81">
        <w:t xml:space="preserve"> talk about the weather.</w:t>
      </w:r>
      <w:r w:rsidR="00C14C38">
        <w:t>’</w:t>
      </w:r>
      <w:r w:rsidR="00E81C81">
        <w:t xml:space="preserve"> </w:t>
      </w:r>
    </w:p>
    <w:p w14:paraId="3A1EA23D" w14:textId="1C342A5D" w:rsidR="00747EB9" w:rsidRDefault="0013502D" w:rsidP="00747EB9">
      <w:pPr>
        <w:spacing w:line="480" w:lineRule="auto"/>
        <w:ind w:firstLine="720"/>
      </w:pPr>
      <w:r>
        <w:t>In Canada</w:t>
      </w:r>
      <w:r w:rsidR="00747EB9">
        <w:t>,</w:t>
      </w:r>
      <w:r>
        <w:t xml:space="preserve"> there is a wide range of religious groups and </w:t>
      </w:r>
      <w:r w:rsidR="001A2351">
        <w:t>beliefs</w:t>
      </w:r>
      <w:r>
        <w:t xml:space="preserve"> with </w:t>
      </w:r>
      <w:r w:rsidR="00CF4DD9">
        <w:t>Christianity</w:t>
      </w:r>
      <w:r>
        <w:t xml:space="preserve"> being the largest represented religion. Jehovah</w:t>
      </w:r>
      <w:r w:rsidR="005D2620">
        <w:t>’s</w:t>
      </w:r>
      <w:r>
        <w:t xml:space="preserve"> </w:t>
      </w:r>
      <w:r w:rsidR="00712843">
        <w:t>W</w:t>
      </w:r>
      <w:r>
        <w:t>itnesses compose a small portion of the religious landscape</w:t>
      </w:r>
      <w:r w:rsidR="00486A67">
        <w:t xml:space="preserve">, self-reporting </w:t>
      </w:r>
      <w:r w:rsidR="00B7561D">
        <w:t>115, 959 active members in Canada</w:t>
      </w:r>
      <w:r w:rsidR="00740655">
        <w:t xml:space="preserve"> </w:t>
      </w:r>
      <w:r w:rsidR="00486A67">
        <w:t>(</w:t>
      </w:r>
      <w:r w:rsidR="008D17E5">
        <w:t>Watch Tower Bible and Tract Society of Pennsylvania, 2019</w:t>
      </w:r>
      <w:r w:rsidR="00486A67">
        <w:t>)</w:t>
      </w:r>
      <w:r w:rsidR="00FE6BFE">
        <w:t xml:space="preserve">. </w:t>
      </w:r>
      <w:r w:rsidR="00551FEC">
        <w:t xml:space="preserve">“The history of the Watch Tower Bible and Tract Society </w:t>
      </w:r>
      <w:r w:rsidR="00B52048">
        <w:t>[commonly referenced as Jehovah Witnesses]</w:t>
      </w:r>
      <w:r w:rsidR="00551FEC">
        <w:t xml:space="preserve"> spans 130</w:t>
      </w:r>
      <w:r w:rsidR="00B52048">
        <w:t xml:space="preserve"> and </w:t>
      </w:r>
      <w:r w:rsidR="007E23C7">
        <w:t>is rich in controversy. From the moment of its f</w:t>
      </w:r>
      <w:r w:rsidR="00087565">
        <w:t>ormation</w:t>
      </w:r>
      <w:r w:rsidR="007E23C7">
        <w:t xml:space="preserve"> by Charles Taze Russel (1852-1916) to the present day, reactions towards the movement include fascination, compassion, anger and hatred”</w:t>
      </w:r>
      <w:r w:rsidR="00A711BF">
        <w:t xml:space="preserve"> </w:t>
      </w:r>
      <w:r w:rsidR="007E23C7">
        <w:fldChar w:fldCharType="begin" w:fldLock="1"/>
      </w:r>
      <w:r w:rsidR="00004730">
        <w:instrText>ADDIN CSL_CITATION {"citationItems":[{"id":"ITEM-1","itemData":{"author":[{"dropping-particle":"","family":"Holden","given":"Andrew","non-dropping-particle":"","parse-names":false,"suffix":""}],"id":"ITEM-1","issued":{"date-parts":[["2002"]]},"title":"Jehovah's Witnesses: Portrait of a contemporary religious movement.","type":"book"},"locator":"17","uris":["http://www.mendeley.com/documents/?uuid=be93e7a7-b831-429f-bce5-8453ee36e137"]}],"mendeley":{"formattedCitation":"(Holden, 2002, p. 17)","plainTextFormattedCitation":"(Holden, 2002, p. 17)","previouslyFormattedCitation":"(Holden, 2002, p. 17)"},"properties":{"noteIndex":0},"schema":"https://github.com/citation-style-language/schema/raw/master/csl-citation.json"}</w:instrText>
      </w:r>
      <w:r w:rsidR="007E23C7">
        <w:fldChar w:fldCharType="separate"/>
      </w:r>
      <w:r w:rsidR="007E23C7" w:rsidRPr="007E23C7">
        <w:rPr>
          <w:noProof/>
        </w:rPr>
        <w:t>(Holden, 2002, p. 17)</w:t>
      </w:r>
      <w:r w:rsidR="007E23C7">
        <w:fldChar w:fldCharType="end"/>
      </w:r>
      <w:r w:rsidR="007E23C7">
        <w:t>.</w:t>
      </w:r>
      <w:r w:rsidR="0044096A">
        <w:t xml:space="preserve"> </w:t>
      </w:r>
      <w:r w:rsidR="00F429D6">
        <w:t>In 1931, Russel’s successor, Joseph F. Rutherford, gave the name Jehovah’s Witness</w:t>
      </w:r>
      <w:r w:rsidR="00612B7E">
        <w:t>e</w:t>
      </w:r>
      <w:r w:rsidR="00F429D6">
        <w:t>s to those Bible students loyal to the Watch Tower Society. It was under Rutherford’s leadership that the first Kingdom Hall was built in Hawaii</w:t>
      </w:r>
      <w:r w:rsidR="00612B7E">
        <w:t xml:space="preserve"> </w:t>
      </w:r>
      <w:r w:rsidR="00612B7E">
        <w:fldChar w:fldCharType="begin" w:fldLock="1"/>
      </w:r>
      <w:r w:rsidR="006F3D47">
        <w:instrText>ADDIN CSL_CITATION {"citationItems":[{"id":"ITEM-1","itemData":{"author":[{"dropping-particle":"","family":"Knox","given":"Zoe","non-dropping-particle":"","parse-names":false,"suffix":""}],"id":"ITEM-1","issued":{"date-parts":[["2018"]]},"number-of-pages":"315","title":"Jehovah's Witnesses and the secular world: From the 1870s to the present","type":"book"},"uris":["http://www.mendeley.com/documents/?uuid=44c6631b-2f49-4697-893f-e18ade998c18"]}],"mendeley":{"formattedCitation":"(Knox, 2018)","plainTextFormattedCitation":"(Knox, 2018)","previouslyFormattedCitation":"(Knox, 2018)"},"properties":{"noteIndex":0},"schema":"https://github.com/citation-style-language/schema/raw/master/csl-citation.json"}</w:instrText>
      </w:r>
      <w:r w:rsidR="00612B7E">
        <w:fldChar w:fldCharType="separate"/>
      </w:r>
      <w:r w:rsidR="00612B7E" w:rsidRPr="00612B7E">
        <w:rPr>
          <w:noProof/>
        </w:rPr>
        <w:t>(Knox, 2018)</w:t>
      </w:r>
      <w:r w:rsidR="00612B7E">
        <w:fldChar w:fldCharType="end"/>
      </w:r>
      <w:r w:rsidR="00F429D6">
        <w:t>.</w:t>
      </w:r>
      <w:r w:rsidR="00F429D6">
        <w:rPr>
          <w:rFonts w:ascii="Avenir" w:hAnsi="Avenir"/>
          <w:color w:val="393939"/>
          <w:sz w:val="27"/>
          <w:szCs w:val="27"/>
        </w:rPr>
        <w:t xml:space="preserve"> </w:t>
      </w:r>
      <w:r w:rsidR="0044096A">
        <w:t xml:space="preserve">As a religious group they are best known for their door-to-door preaching, where they distribute literature </w:t>
      </w:r>
      <w:r w:rsidR="00CB00BC">
        <w:t xml:space="preserve">in hopes of </w:t>
      </w:r>
      <w:r w:rsidR="0044096A">
        <w:t>spread</w:t>
      </w:r>
      <w:r w:rsidR="00CB00BC">
        <w:t>ing</w:t>
      </w:r>
      <w:r w:rsidR="0044096A">
        <w:t xml:space="preserve"> their message. Christmas, Easter, birthdays, and other holidays and </w:t>
      </w:r>
      <w:r w:rsidR="00CB00BC">
        <w:t xml:space="preserve">North American </w:t>
      </w:r>
      <w:r w:rsidR="0044096A">
        <w:t>customs</w:t>
      </w:r>
      <w:r w:rsidR="00CB00BC">
        <w:t>, such as Hallowe’en,</w:t>
      </w:r>
      <w:r w:rsidR="0044096A">
        <w:t xml:space="preserve"> are not observed by Jehovah</w:t>
      </w:r>
      <w:r w:rsidR="005D2620">
        <w:t>’s</w:t>
      </w:r>
      <w:r w:rsidR="0044096A">
        <w:t xml:space="preserve"> </w:t>
      </w:r>
      <w:r w:rsidR="00712843">
        <w:t>W</w:t>
      </w:r>
      <w:r w:rsidR="0044096A">
        <w:t xml:space="preserve">itnesses, </w:t>
      </w:r>
      <w:r w:rsidR="00B6787D">
        <w:t>because</w:t>
      </w:r>
      <w:r w:rsidR="0044096A">
        <w:t xml:space="preserve"> they believe that they have pagan origins that are not compatible with their interpretation of </w:t>
      </w:r>
      <w:r w:rsidR="00945B03">
        <w:t>the Bible</w:t>
      </w:r>
      <w:r w:rsidR="007E23C7">
        <w:t xml:space="preserve"> </w:t>
      </w:r>
      <w:r w:rsidR="007E23C7">
        <w:fldChar w:fldCharType="begin" w:fldLock="1"/>
      </w:r>
      <w:r w:rsidR="00004730">
        <w:instrText>ADDIN CSL_CITATION {"citationItems":[{"id":"ITEM-1","itemData":{"author":[{"dropping-particle":"","family":"Chryssides","given":"George D.","non-dropping-particle":"","parse-names":false,"suffix":""}],"id":"ITEM-1","issued":{"date-parts":[["2009"]]},"title":"The a to z's of Jehovah's Witnesses","type":"book"},"uris":["http://www.mendeley.com/documents/?uuid=29b0a67e-237d-4611-9dbe-bf1ae4e75459"]}],"mendeley":{"formattedCitation":"(Chryssides, 2009)","plainTextFormattedCitation":"(Chryssides, 2009)","previouslyFormattedCitation":"(Chryssides, 2009)"},"properties":{"noteIndex":0},"schema":"https://github.com/citation-style-language/schema/raw/master/csl-citation.json"}</w:instrText>
      </w:r>
      <w:r w:rsidR="007E23C7">
        <w:fldChar w:fldCharType="separate"/>
      </w:r>
      <w:r w:rsidR="007E23C7" w:rsidRPr="007E23C7">
        <w:rPr>
          <w:noProof/>
        </w:rPr>
        <w:t>(Chryssides, 2009)</w:t>
      </w:r>
      <w:r w:rsidR="007E23C7">
        <w:fldChar w:fldCharType="end"/>
      </w:r>
      <w:r w:rsidR="00712843">
        <w:t xml:space="preserve">. “The </w:t>
      </w:r>
      <w:r w:rsidR="00712843">
        <w:lastRenderedPageBreak/>
        <w:t>Witnesses draw clear boundaries between themselves and non-members, establish strict entry criteria and keep their involvement with the wider society to a minimum”</w:t>
      </w:r>
      <w:r w:rsidR="00A711BF">
        <w:t xml:space="preserve"> </w:t>
      </w:r>
      <w:r w:rsidR="00712843">
        <w:fldChar w:fldCharType="begin" w:fldLock="1"/>
      </w:r>
      <w:r w:rsidR="00004730">
        <w:instrText>ADDIN CSL_CITATION {"citationItems":[{"id":"ITEM-1","itemData":{"author":[{"dropping-particle":"","family":"Holden","given":"Andrew","non-dropping-particle":"","parse-names":false,"suffix":""}],"id":"ITEM-1","issued":{"date-parts":[["2002"]]},"title":"Jehovah's Witnesses: Portrait of a contemporary religious movement.","type":"book"},"locator":"12","uris":["http://www.mendeley.com/documents/?uuid=be93e7a7-b831-429f-bce5-8453ee36e137"]}],"mendeley":{"formattedCitation":"(Holden, 2002, p. 12)","plainTextFormattedCitation":"(Holden, 2002, p. 12)","previouslyFormattedCitation":"(Holden, 2002, p. 12)"},"properties":{"noteIndex":0},"schema":"https://github.com/citation-style-language/schema/raw/master/csl-citation.json"}</w:instrText>
      </w:r>
      <w:r w:rsidR="00712843">
        <w:fldChar w:fldCharType="separate"/>
      </w:r>
      <w:r w:rsidR="00712843" w:rsidRPr="00712843">
        <w:rPr>
          <w:noProof/>
        </w:rPr>
        <w:t>(Holden, 2002, p. 12)</w:t>
      </w:r>
      <w:r w:rsidR="00712843">
        <w:fldChar w:fldCharType="end"/>
      </w:r>
      <w:r w:rsidR="00712843">
        <w:t>. Individuals do not participate in civil activities, including voting; however, many Jehovah’s Witnesses do send their children to public schools over cho</w:t>
      </w:r>
      <w:r w:rsidR="00E342F8">
        <w:t>o</w:t>
      </w:r>
      <w:r w:rsidR="00712843">
        <w:t xml:space="preserve">sing to homeschool </w:t>
      </w:r>
      <w:r w:rsidR="00712843">
        <w:fldChar w:fldCharType="begin" w:fldLock="1"/>
      </w:r>
      <w:r w:rsidR="00004730">
        <w:instrText>ADDIN CSL_CITATION {"citationItems":[{"id":"ITEM-1","itemData":{"author":[{"dropping-particle":"","family":"Chryssides","given":"George D.","non-dropping-particle":"","parse-names":false,"suffix":""}],"id":"ITEM-1","issued":{"date-parts":[["2009"]]},"title":"The a to z's of Jehovah's Witnesses","type":"book"},"uris":["http://www.mendeley.com/documents/?uuid=29b0a67e-237d-4611-9dbe-bf1ae4e75459"]}],"mendeley":{"formattedCitation":"(Chryssides, 2009)","plainTextFormattedCitation":"(Chryssides, 2009)","previouslyFormattedCitation":"(Chryssides, 2009)"},"properties":{"noteIndex":0},"schema":"https://github.com/citation-style-language/schema/raw/master/csl-citation.json"}</w:instrText>
      </w:r>
      <w:r w:rsidR="00712843">
        <w:fldChar w:fldCharType="separate"/>
      </w:r>
      <w:r w:rsidR="00712843" w:rsidRPr="00712843">
        <w:rPr>
          <w:noProof/>
        </w:rPr>
        <w:t>(Chryssides, 2009)</w:t>
      </w:r>
      <w:r w:rsidR="00712843">
        <w:fldChar w:fldCharType="end"/>
      </w:r>
      <w:r w:rsidR="00712843">
        <w:t xml:space="preserve">. </w:t>
      </w:r>
      <w:r w:rsidR="00B910DC">
        <w:t xml:space="preserve">In addition to their reputation as door-to-door </w:t>
      </w:r>
      <w:r w:rsidR="003D1012">
        <w:t>evangelists</w:t>
      </w:r>
      <w:r w:rsidR="00B910DC">
        <w:t xml:space="preserve">, the Jehovah’s Witnesses often end up with a national spotlight, </w:t>
      </w:r>
      <w:r w:rsidR="00A64BD3">
        <w:t>particularly</w:t>
      </w:r>
      <w:r w:rsidR="00B910DC">
        <w:t xml:space="preserve"> in the United States, over their medical choices for themselves and their children.</w:t>
      </w:r>
      <w:r w:rsidR="00D6103B">
        <w:t xml:space="preserve"> </w:t>
      </w:r>
      <w:r w:rsidR="00F7761A">
        <w:t xml:space="preserve">According to their faith, </w:t>
      </w:r>
      <w:r w:rsidR="004770FE">
        <w:t>followers are strictly prohibited to accept blood products</w:t>
      </w:r>
      <w:r w:rsidR="006F3D47">
        <w:t xml:space="preserve"> </w:t>
      </w:r>
      <w:r w:rsidR="006F3D47">
        <w:fldChar w:fldCharType="begin" w:fldLock="1"/>
      </w:r>
      <w:r w:rsidR="00004730">
        <w:instrText>ADDIN CSL_CITATION {"citationItems":[{"id":"ITEM-1","itemData":{"author":[{"dropping-particle":"","family":"Holden","given":"Andrew","non-dropping-particle":"","parse-names":false,"suffix":""}],"id":"ITEM-1","issued":{"date-parts":[["2002"]]},"title":"Jehovah's Witnesses: Portrait of a contemporary religious movement.","type":"book"},"uris":["http://www.mendeley.com/documents/?uuid=be93e7a7-b831-429f-bce5-8453ee36e137"]}],"mendeley":{"formattedCitation":"(Holden, 2002)","plainTextFormattedCitation":"(Holden, 2002)","previouslyFormattedCitation":"(Holden, 2002)"},"properties":{"noteIndex":0},"schema":"https://github.com/citation-style-language/schema/raw/master/csl-citation.json"}</w:instrText>
      </w:r>
      <w:r w:rsidR="006F3D47">
        <w:fldChar w:fldCharType="separate"/>
      </w:r>
      <w:r w:rsidR="006F3D47" w:rsidRPr="006F3D47">
        <w:rPr>
          <w:noProof/>
        </w:rPr>
        <w:t>(Holden, 2002)</w:t>
      </w:r>
      <w:r w:rsidR="006F3D47">
        <w:fldChar w:fldCharType="end"/>
      </w:r>
      <w:r w:rsidR="006F3D47">
        <w:t>.</w:t>
      </w:r>
      <w:r w:rsidR="00F7761A">
        <w:t xml:space="preserve"> Courts throughout the western world recognize parental rights; however parental rights to raise children are based on a belief that their choices ensure the health, safety, and wellbeing of their children</w:t>
      </w:r>
      <w:r w:rsidR="006F3D47">
        <w:t xml:space="preserve"> </w:t>
      </w:r>
      <w:r w:rsidR="006F3D47">
        <w:fldChar w:fldCharType="begin" w:fldLock="1"/>
      </w:r>
      <w:r w:rsidR="003C41EC">
        <w:instrText>ADDIN CSL_CITATION {"citationItems":[{"id":"ITEM-1","itemData":{"DOI":"10.1136/adc.2004.067843","ISSN":"00039888","abstract":"The Jehovah's Witnesses Society (JW), a fundamentalist Christian sect, is best known to laypersons and healthcare professionals for its refusal of blood products, even when such a refusal may result in death. Since the introduction of the blood ban in 1945, JW parents have fought for their rights to refuse blood on behalf of their children, based on religious beliefs and their right to raise children as they see fit. Adolescent JWs have also sought to refuse blood products based on their beliefs, regardless of the views of their parents.","author":[{"dropping-particle":"","family":"Woolley","given":"S.","non-dropping-particle":"","parse-names":false,"suffix":""}],"container-title":"Archives of Disease in Childhood","id":"ITEM-1","issue":"7","issued":{"date-parts":[["2005"]]},"note":"According to their faith, the punishment for accepting blood products is loss of eternal life and on earth, esentially a type of excommunication. Cite** Courts throughout the western world recognize parental rights; however parental rights to raise children are based on a belief that their choices ensure the health, safety, and wellbeing of their children. **Cite.\nAccording to Wooley (2005) Canadian cases involving adolecent JWs fall into two categories: those supporting the rights of adolecents to refuse medical treatment, and those refuting the suggestions that adolecents are mature enough to make life or death decisions&amp;quot; (p. 717).","page":"715-719","title":"Children of Jehovah's Witnesses and adolescent Jehovah's Witnesses: What are their rights?","type":"article-journal","volume":"90"},"uris":["http://www.mendeley.com/documents/?uuid=3b351bd6-e140-36a6-a66d-0a920fd51342"]}],"mendeley":{"formattedCitation":"(Woolley, 2005)","plainTextFormattedCitation":"(Woolley, 2005)","previouslyFormattedCitation":"(Woolley, 2005)"},"properties":{"noteIndex":0},"schema":"https://github.com/citation-style-language/schema/raw/master/csl-citation.json"}</w:instrText>
      </w:r>
      <w:r w:rsidR="006F3D47">
        <w:fldChar w:fldCharType="separate"/>
      </w:r>
      <w:r w:rsidR="006F3D47" w:rsidRPr="006F3D47">
        <w:rPr>
          <w:noProof/>
        </w:rPr>
        <w:t>(Woolley, 2005)</w:t>
      </w:r>
      <w:r w:rsidR="006F3D47">
        <w:fldChar w:fldCharType="end"/>
      </w:r>
      <w:r w:rsidR="00F7761A">
        <w:t>.</w:t>
      </w:r>
      <w:r w:rsidR="00D6103B">
        <w:t xml:space="preserve"> </w:t>
      </w:r>
      <w:r w:rsidR="00F7761A">
        <w:t>According to Wool</w:t>
      </w:r>
      <w:r w:rsidR="006F3D47">
        <w:t>l</w:t>
      </w:r>
      <w:r w:rsidR="00F7761A">
        <w:t xml:space="preserve">ey (2005) </w:t>
      </w:r>
      <w:r w:rsidR="006F3D47">
        <w:t>“</w:t>
      </w:r>
      <w:r w:rsidR="00F7761A">
        <w:t xml:space="preserve">Canadian cases involving </w:t>
      </w:r>
      <w:r w:rsidR="00B829E8">
        <w:t>adolescent</w:t>
      </w:r>
      <w:r w:rsidR="00F7761A">
        <w:t xml:space="preserve"> JWs fall into two categories: those supporting the rights of </w:t>
      </w:r>
      <w:r w:rsidR="00CE09F6">
        <w:t>adolescents</w:t>
      </w:r>
      <w:r w:rsidR="00F7761A">
        <w:t xml:space="preserve"> to refuse medical treatment, and those refuting the suggestions that </w:t>
      </w:r>
      <w:r w:rsidR="00ED6DDF">
        <w:t>adolescents</w:t>
      </w:r>
      <w:r w:rsidR="00F7761A">
        <w:t xml:space="preserve"> are mature enough to make life or death decisions" (p. 717).</w:t>
      </w:r>
      <w:r w:rsidR="006F3D47">
        <w:t xml:space="preserve"> Media attention around medical issues, coupled with door-to-door presences, often leads </w:t>
      </w:r>
      <w:r w:rsidR="00D94456">
        <w:t xml:space="preserve">to </w:t>
      </w:r>
      <w:r w:rsidR="006F3D47">
        <w:t>some people</w:t>
      </w:r>
      <w:r w:rsidR="00D94456">
        <w:t>’s</w:t>
      </w:r>
      <w:r w:rsidR="006F3D47">
        <w:t xml:space="preserve"> unintentional bias towards individual Jehovah’s Witnesses </w:t>
      </w:r>
      <w:r w:rsidR="00C14C38">
        <w:t>that we may</w:t>
      </w:r>
      <w:r w:rsidR="006F3D47">
        <w:t xml:space="preserve"> meet in their community and at secular schools.</w:t>
      </w:r>
    </w:p>
    <w:p w14:paraId="23C623A5" w14:textId="16C8FB15" w:rsidR="00AB5477" w:rsidRPr="00AB5477" w:rsidRDefault="00AB5477" w:rsidP="00B910DC">
      <w:pPr>
        <w:spacing w:line="480" w:lineRule="auto"/>
        <w:rPr>
          <w:b/>
        </w:rPr>
      </w:pPr>
      <w:r w:rsidRPr="00AB5477">
        <w:rPr>
          <w:b/>
        </w:rPr>
        <w:t>Consideration for Educators</w:t>
      </w:r>
    </w:p>
    <w:p w14:paraId="2D6F10D7" w14:textId="69D834AA" w:rsidR="0038299A" w:rsidRDefault="008D3A54" w:rsidP="00B910DC">
      <w:pPr>
        <w:spacing w:line="480" w:lineRule="auto"/>
      </w:pPr>
      <w:r>
        <w:tab/>
        <w:t xml:space="preserve">Religion is public schools is a complicated issue for all individuals, particularly for those who do not celebrate traditional Christian holidays such as Christmas and Easter. In the past few years, there has been much public debate around </w:t>
      </w:r>
      <w:r w:rsidR="0039396A">
        <w:t>whether</w:t>
      </w:r>
      <w:r>
        <w:t xml:space="preserve"> schools should have Christmas concerts</w:t>
      </w:r>
      <w:r w:rsidR="00161263">
        <w:t xml:space="preserve"> </w:t>
      </w:r>
      <w:r w:rsidR="003C707A">
        <w:t>or acknowledge Easter</w:t>
      </w:r>
      <w:r>
        <w:t xml:space="preserve">. The </w:t>
      </w:r>
      <w:r w:rsidR="00051CD3">
        <w:t xml:space="preserve">sometimes </w:t>
      </w:r>
      <w:r>
        <w:t>obvious</w:t>
      </w:r>
      <w:r w:rsidR="00051CD3">
        <w:t xml:space="preserve"> and</w:t>
      </w:r>
      <w:r w:rsidR="004C0805">
        <w:t>/or</w:t>
      </w:r>
      <w:r w:rsidR="00051CD3">
        <w:t xml:space="preserve"> inadvertent</w:t>
      </w:r>
      <w:r>
        <w:t xml:space="preserve"> infusion of Christian holidays into school theme days and traditions marginalizes many religious and ethnic groups</w:t>
      </w:r>
      <w:r w:rsidR="003C41EC">
        <w:t xml:space="preserve"> </w:t>
      </w:r>
      <w:r w:rsidR="002F7420">
        <w:fldChar w:fldCharType="begin" w:fldLock="1"/>
      </w:r>
      <w:r w:rsidR="0038299A">
        <w:instrText>ADDIN CSL_CITATION {"citationItems":[{"id":"ITEM-1","itemData":{"DOI":"10.1080/3808556146","author":[{"dropping-particle":"","family":"Darling","given":"E. Moore","non-dropping-particle":"","parse-names":false,"suffix":""}],"container-title":"Religion in Education","id":"ITEM-1","issue":"4","issued":{"date-parts":[["2011"]]},"page":"192-199","title":"Religion in public schools","type":"article-journal","volume":"5"},"uris":["http://www.mendeley.com/documents/?uuid=9689785d-36e3-4336-9955-3c64bce1d77a"]}],"mendeley":{"formattedCitation":"(Darling, 2011)","plainTextFormattedCitation":"(Darling, 2011)","previouslyFormattedCitation":"(Darling, 2011)"},"properties":{"noteIndex":0},"schema":"https://github.com/citation-style-language/schema/raw/master/csl-citation.json"}</w:instrText>
      </w:r>
      <w:r w:rsidR="002F7420">
        <w:fldChar w:fldCharType="separate"/>
      </w:r>
      <w:r w:rsidR="002F7420" w:rsidRPr="002F7420">
        <w:rPr>
          <w:noProof/>
        </w:rPr>
        <w:t>(Darling, 2011)</w:t>
      </w:r>
      <w:r w:rsidR="002F7420">
        <w:fldChar w:fldCharType="end"/>
      </w:r>
      <w:r>
        <w:t xml:space="preserve">. </w:t>
      </w:r>
      <w:r w:rsidR="00DA7B8A">
        <w:t xml:space="preserve">“The school system must strive to ensure that different </w:t>
      </w:r>
      <w:r w:rsidR="007745C6">
        <w:t>cultural</w:t>
      </w:r>
      <w:r w:rsidR="00DA7B8A">
        <w:t xml:space="preserve"> or religious values among learners do not impede their participation in school, their achievement of prescribed learning outcomes, or their capacity to become contributing members of society, in addition to respecting </w:t>
      </w:r>
      <w:r w:rsidR="00954799">
        <w:t>their</w:t>
      </w:r>
      <w:r w:rsidR="00DA7B8A">
        <w:t xml:space="preserve"> sense of identity and their freedom of conscience and religion” </w:t>
      </w:r>
      <w:r w:rsidR="0038299A">
        <w:fldChar w:fldCharType="begin" w:fldLock="1"/>
      </w:r>
      <w:r w:rsidR="005F673D">
        <w:instrText>ADDIN CSL_CITATION {"citationItems":[{"id":"ITEM-1","itemData":{"ISSN":"03802361","abstract":"The religious diversity of students and staff within a secular school system may sometimes create tensions. To better understand the possible issues generated by and practical accommodations made with respect to these tensions, interviews were conducted at the district level with key administrators in metropolitan school districts in British Columbia. These interviews aimed to document existing policy related to religious diversity in schools, and understand how school districts address issues related to religious values or beliefs, which may conflict with existing educational values, especially as they relate to curriculum. (English) [ABSTRACT FROM AUTHOR]","author":[{"dropping-particle":"","family":"Jacquet","given":"Marianne","non-dropping-particle":"","parse-names":false,"suffix":""},{"dropping-particle":"","family":"D'Amico","given":"Laura","non-dropping-particle":"","parse-names":false,"suffix":""}],"container-title":"Canadian Journal of Education","id":"ITEM-1","issue":"2","issued":{"date-parts":[["2016"]]},"note":"The school system must strive to ensure that different culutural or religious values among learners do not impede their participation in school, their achievement of prescribed learning outcomes, or their capacity to become contributing members of society, in addition to respecting thier sense of identity and their freedom of conscience and religion p.4","page":"1-25","title":"Religious diversity and inclusion: Policy and accommodation practices in British Columbia's secular school system","type":"article-journal","volume":"39"},"locator":"4","uris":["http://www.mendeley.com/documents/?uuid=ed3d6d44-afad-3c49-957c-306d9e750ba3"]}],"mendeley":{"formattedCitation":"(Jacquet &amp; D’Amico, 2016, p. 4)","plainTextFormattedCitation":"(Jacquet &amp; D’Amico, 2016, p. 4)","previouslyFormattedCitation":"(Jacquet &amp; D’Amico, 2016, p. 4)"},"properties":{"noteIndex":0},"schema":"https://github.com/citation-style-language/schema/raw/master/csl-citation.json"}</w:instrText>
      </w:r>
      <w:r w:rsidR="0038299A">
        <w:fldChar w:fldCharType="separate"/>
      </w:r>
      <w:r w:rsidR="0038299A" w:rsidRPr="0038299A">
        <w:rPr>
          <w:noProof/>
        </w:rPr>
        <w:t>(Jacquet &amp; D’Amico, 2016, p. 4)</w:t>
      </w:r>
      <w:r w:rsidR="0038299A">
        <w:fldChar w:fldCharType="end"/>
      </w:r>
    </w:p>
    <w:p w14:paraId="5703E286" w14:textId="433C08B0" w:rsidR="00201686" w:rsidRDefault="00857D1C" w:rsidP="00D548FC">
      <w:pPr>
        <w:spacing w:line="480" w:lineRule="auto"/>
        <w:ind w:firstLine="720"/>
      </w:pPr>
      <w:r>
        <w:t xml:space="preserve">I have had several Jehovah’s Witnesses in my classroom throughout my teaching </w:t>
      </w:r>
      <w:r w:rsidR="00F8799D">
        <w:t>career</w:t>
      </w:r>
      <w:r w:rsidR="001F5460">
        <w:t xml:space="preserve">, </w:t>
      </w:r>
      <w:r w:rsidR="00F8799D">
        <w:t>and</w:t>
      </w:r>
      <w:r>
        <w:t xml:space="preserve"> </w:t>
      </w:r>
      <w:r w:rsidR="001F5460">
        <w:t xml:space="preserve">I </w:t>
      </w:r>
      <w:r>
        <w:t xml:space="preserve">have found that an honest conversation with the family and the child is the best way to navigate their relationships with school traditions. For example, Jehovah’s Witnesses do not pledge </w:t>
      </w:r>
      <w:r w:rsidR="000826DD">
        <w:t>allegiance</w:t>
      </w:r>
      <w:r>
        <w:t xml:space="preserve"> to any particular government; therefore, many will traditionally not stand for the singing of </w:t>
      </w:r>
      <w:r w:rsidR="00625D3D">
        <w:t>“</w:t>
      </w:r>
      <w:r w:rsidR="00520351">
        <w:t>O Canada</w:t>
      </w:r>
      <w:r w:rsidR="00625D3D">
        <w:t>,”</w:t>
      </w:r>
      <w:r>
        <w:t xml:space="preserve"> and </w:t>
      </w:r>
      <w:r w:rsidR="00625D3D">
        <w:t xml:space="preserve">the majority </w:t>
      </w:r>
      <w:r>
        <w:t xml:space="preserve">will not sing it. Some students feel uncomfortable sitting while others are standing, so they choose to come into an assembly late, or many will often opt out of coming to school on days, such as Remembrance Day, where they do not want to obviously opt out. </w:t>
      </w:r>
      <w:r w:rsidR="00DC554D">
        <w:t xml:space="preserve">Clarke (2005) argues that discussions about religion </w:t>
      </w:r>
      <w:r w:rsidR="000A60B1">
        <w:t>should</w:t>
      </w:r>
      <w:r w:rsidR="00DC554D">
        <w:t xml:space="preserve"> be encouraged in our schools. He goes on to note that there are good “</w:t>
      </w:r>
      <w:r w:rsidR="00D0193B">
        <w:t>philosophical</w:t>
      </w:r>
      <w:r w:rsidR="00DC554D">
        <w:t xml:space="preserve">, pragmatic and educational reasons to justify the discussion around religion”; however, he cautions that any discussion about religion, or expression of, must be respectful of the principles embodied by the Canadian Charter of Rights and Freedoms (1982) </w:t>
      </w:r>
      <w:r w:rsidR="00DC554D">
        <w:fldChar w:fldCharType="begin" w:fldLock="1"/>
      </w:r>
      <w:r w:rsidR="00004730">
        <w:instrText>ADDIN CSL_CITATION {"citationItems":[{"id":"ITEM-1","itemData":{"author":[{"dropping-particle":"","family":"Clarke","given":"Paul","non-dropping-particle":"","parse-names":false,"suffix":""}],"container-title":"Fall","id":"ITEM-1","issue":"3","issued":{"date-parts":[["2005"]]},"note":"Clarke (2005) argues that discussions about religion shoudl be encouraged in our schools. He goes on to note that there a good philisophical, pragmatic and educational reasons to justify the discussion around religion; however, he cautions that any discussion about religion, or expression of, must be respectful of the principles embodied by the Canadian Charter of Rights and Freedoms (1982) (cite)","page":"351-381","title":"Religion, public education and the charter: Where do we go now?","type":"article-journal","volume":"40"},"uris":["http://www.mendeley.com/documents/?uuid=40f32859-694e-30b5-875e-618cd0cf9718"]}],"mendeley":{"formattedCitation":"(Clarke, 2005)","plainTextFormattedCitation":"(Clarke, 2005)","previouslyFormattedCitation":"(Clarke, 2005)"},"properties":{"noteIndex":0},"schema":"https://github.com/citation-style-language/schema/raw/master/csl-citation.json"}</w:instrText>
      </w:r>
      <w:r w:rsidR="00DC554D">
        <w:fldChar w:fldCharType="separate"/>
      </w:r>
      <w:r w:rsidR="00DC554D" w:rsidRPr="005F673D">
        <w:rPr>
          <w:noProof/>
        </w:rPr>
        <w:t>(Clarke, 2005)</w:t>
      </w:r>
      <w:r w:rsidR="00DC554D">
        <w:fldChar w:fldCharType="end"/>
      </w:r>
      <w:r w:rsidR="00DC554D">
        <w:t>. As such, when</w:t>
      </w:r>
      <w:r>
        <w:t xml:space="preserve"> it comes to religious based activities, the conversation has become</w:t>
      </w:r>
      <w:r w:rsidR="00DC554D">
        <w:t xml:space="preserve"> about</w:t>
      </w:r>
      <w:r>
        <w:t xml:space="preserve"> how I make all students feel welcome in my classroom. </w:t>
      </w:r>
      <w:r w:rsidR="00DC554D">
        <w:t xml:space="preserve">This can be as simple as asking students what is important to them, and acknowledging religious practices they may be participating in. For example, respecting a student who is fasting during Ramadan and not planning a class party during that time. </w:t>
      </w:r>
      <w:r w:rsidR="0038299A">
        <w:t xml:space="preserve">It takes consideration and caring to ensure that we do not marginalize students based on their beliefs, regardless of how they align with our own. </w:t>
      </w:r>
    </w:p>
    <w:p w14:paraId="71262512" w14:textId="26695246" w:rsidR="00747EB9" w:rsidRDefault="00747EB9" w:rsidP="00D548FC">
      <w:pPr>
        <w:spacing w:line="480" w:lineRule="auto"/>
        <w:ind w:firstLine="720"/>
      </w:pPr>
    </w:p>
    <w:p w14:paraId="31860C37" w14:textId="77777777" w:rsidR="00161263" w:rsidRPr="00201686" w:rsidRDefault="00161263" w:rsidP="00D548FC">
      <w:pPr>
        <w:spacing w:line="480" w:lineRule="auto"/>
        <w:ind w:firstLine="720"/>
      </w:pPr>
    </w:p>
    <w:p w14:paraId="5FA5A85B" w14:textId="190979F4" w:rsidR="00C073C3" w:rsidRDefault="003C41EC" w:rsidP="00DF2128">
      <w:pPr>
        <w:spacing w:line="480" w:lineRule="auto"/>
        <w:jc w:val="center"/>
        <w:rPr>
          <w:b/>
        </w:rPr>
      </w:pPr>
      <w:r w:rsidRPr="00D548FC">
        <w:rPr>
          <w:b/>
        </w:rPr>
        <w:t>C</w:t>
      </w:r>
      <w:r w:rsidR="00747EB9">
        <w:rPr>
          <w:b/>
        </w:rPr>
        <w:t>onnections</w:t>
      </w:r>
    </w:p>
    <w:p w14:paraId="6524C4D7" w14:textId="0481F180" w:rsidR="00924EAF" w:rsidRDefault="00C073C3" w:rsidP="009B0F47">
      <w:pPr>
        <w:spacing w:line="480" w:lineRule="auto"/>
        <w:ind w:firstLine="720"/>
      </w:pPr>
      <w:r>
        <w:rPr>
          <w:rFonts w:ascii="Calibri" w:hAnsi="Calibri" w:cs="Calibri"/>
        </w:rPr>
        <w:t>“</w:t>
      </w:r>
      <w:r w:rsidRPr="00B94D96">
        <w:t>In the field of public education, we need to ensure that our children are literate when it comes to understanding this new reality based on a variety of shifting beliefs, whether grounded in religion or not</w:t>
      </w:r>
      <w:r>
        <w:t xml:space="preserve">” </w:t>
      </w:r>
      <w:r>
        <w:fldChar w:fldCharType="begin" w:fldLock="1"/>
      </w:r>
      <w:r>
        <w:instrText>ADDIN CSL_CITATION {"citationItems":[{"id":"ITEM-1","itemData":{"abstract":"L. (S.) c. Des Chênes (Commission scolaire) ---- Human rights—Religious Freedom—Public school curriculum—Whether mandatory program in Ethics and Religion violates parents’ and children’s free- dom of conscience and religion—To constitute infringment applicant must prove adverse effect on practice of religion—Canadian Charter of Rights and Freedoms, s. 2(a)—Charter of Human Rights and Freedoms (Que.), s. 3—Education Act (Que.), s. 222","author":[{"dropping-particle":"","family":"Clarke","given":"Paul","non-dropping-particle":"","parse-names":false,"suffix":""}],"container-title":"Education and Law Journal","id":"ITEM-1","issued":{"date-parts":[["2012"]]},"page":"168-183","title":"Case comment: Religion and public schools in Quebec: The Supreme Court of Canada has spoken... at least for now","type":"article-journal","volume":"21"},"locator":"182","uris":["http://www.mendeley.com/documents/?uuid=600eda02-0b6c-3794-badf-0a3100ffa12f"]}],"mendeley":{"formattedCitation":"(Clarke, 2012, p. 182)","plainTextFormattedCitation":"(Clarke, 2012, p. 182)","previouslyFormattedCitation":"(Clarke, 2012, p. 182)"},"properties":{"noteIndex":0},"schema":"https://github.com/citation-style-language/schema/raw/master/csl-citation.json"}</w:instrText>
      </w:r>
      <w:r>
        <w:fldChar w:fldCharType="separate"/>
      </w:r>
      <w:r w:rsidRPr="003C41EC">
        <w:rPr>
          <w:noProof/>
        </w:rPr>
        <w:t>(Clarke, 2012, p. 182)</w:t>
      </w:r>
      <w:r>
        <w:fldChar w:fldCharType="end"/>
      </w:r>
      <w:r>
        <w:t xml:space="preserve">. As educators, we need to be aware of the </w:t>
      </w:r>
      <w:r w:rsidR="00D301EA">
        <w:t xml:space="preserve">backgrounds </w:t>
      </w:r>
      <w:r>
        <w:t>of our students</w:t>
      </w:r>
      <w:r w:rsidR="0022606F">
        <w:t xml:space="preserve"> </w:t>
      </w:r>
      <w:r>
        <w:t>and sensitive to their experiences and beliefs.</w:t>
      </w:r>
      <w:r w:rsidRPr="00BE332D">
        <w:t xml:space="preserve"> </w:t>
      </w:r>
      <w:r>
        <w:t xml:space="preserve">Tollefson and Magdaleno </w:t>
      </w:r>
      <w:r>
        <w:fldChar w:fldCharType="begin" w:fldLock="1"/>
      </w:r>
      <w:r>
        <w:instrText>ADDIN CSL_CITATION {"citationItems":[{"id":"ITEM-1","itemData":{"DOI":"10.1177/105268461602600202","ISSN":"1052-6846","abstract":"This article takes as its premise the idea that an a priori acknowledgment gap exists relative to other kinds of gaps described in the literature on educational disparities between racial and ethnic groups. The authors define the acknowledgment gap as a disparity between some educational leaders and the communities they serve in understanding and valuing the roles of historical context and cultural, social, and economic capital in facilitating or hindering students' academic success. A brief summary of gap discourse is included, providing context for the authors' suggestion that an acknowledgment gap-existing as it does, as a mental state-precedes, explains, and actually lays foundation for the existence of other kinds of gaps describing educational disparities. Examples of the acknowledgment gap are followed by suggested actions that educational leaders can take to reduce it. School leaders working to narrow the acknowledgment gap, the authors suggest, will be creating a stronger platform on which to stand in their ongoing fight to eliminate disparities in educational opportunities and achievement.","author":[{"dropping-particle":"","family":"Tollefson","given":"Kaia","non-dropping-particle":"","parse-names":false,"suffix":""},{"dropping-particle":"","family":"Magdaleno","given":"Kenneth R.","non-dropping-particle":"","parse-names":false,"suffix":""}],"container-title":"Journal of School Leadership","id":"ITEM-1","issue":"2","issued":{"date-parts":[["2016"]]},"page":"223-248","title":"Educational leaders and the acknowledgment gap","type":"article-journal","volume":"26"},"uris":["http://www.mendeley.com/documents/?uuid=b811d79c-6b39-45c2-afec-114e7733cb05"]}],"mendeley":{"formattedCitation":"(Tollefson &amp; Magdaleno, 2016)","manualFormatting":"(2016)","plainTextFormattedCitation":"(Tollefson &amp; Magdaleno, 2016)","previouslyFormattedCitation":"(Tollefson &amp; Magdaleno, 2016)"},"properties":{"noteIndex":0},"schema":"https://github.com/citation-style-language/schema/raw/master/csl-citation.json"}</w:instrText>
      </w:r>
      <w:r>
        <w:fldChar w:fldCharType="separate"/>
      </w:r>
      <w:r w:rsidRPr="004A2EB5">
        <w:rPr>
          <w:noProof/>
        </w:rPr>
        <w:t>(2016)</w:t>
      </w:r>
      <w:r>
        <w:fldChar w:fldCharType="end"/>
      </w:r>
      <w:r>
        <w:t xml:space="preserve"> argue that the essence of success in any school is having leaders who understand the socioeconomical, cultural, and historical backgrounds of the community as well as the students it serves. All three groups are often pre-judged by their portrayals in media. Therefore, as educators, we need to be aware of the media biases for all three groups, which inadvertently place a stereotypical story on students. “Stories matter. Many stories matter</w:t>
      </w:r>
      <w:r w:rsidR="002C1F6F">
        <w:t xml:space="preserve">. Stories have been used to dispossess and to malign, but </w:t>
      </w:r>
      <w:r>
        <w:t xml:space="preserve">stories can be used to empower and to humanize” </w:t>
      </w:r>
      <w:r>
        <w:fldChar w:fldCharType="begin" w:fldLock="1"/>
      </w:r>
      <w:r w:rsidR="00BB34B5">
        <w:instrText>ADDIN CSL_CITATION {"citationItems":[{"id":"ITEM-1","itemData":{"DOI":"10.5860/rusq.54n1.20","ISSN":"1094-9054","abstract":"Oct 2009","author":[{"dropping-particle":"","family":"Adichi","given":"Chimanada Ngozi","non-dropping-particle":"","parse-names":false,"suffix":""}],"container-title":"TEDGlobal","id":"ITEM-1","issued":{"date-parts":[["2009"]]},"page":"1-6","title":"The danger of a single story","type":"article-journal"},"locator":"6","uris":["http://www.mendeley.com/documents/?uuid=d0e80514-b1d4-4d4d-9d5c-ee548837948a"]}],"mendeley":{"formattedCitation":"(Adichi, 2009, p. 6)","plainTextFormattedCitation":"(Adichi, 2009, p. 6)","previouslyFormattedCitation":"(Adichi, 2009, p. 6)"},"properties":{"noteIndex":0},"schema":"https://github.com/citation-style-language/schema/raw/master/csl-citation.json"}</w:instrText>
      </w:r>
      <w:r>
        <w:fldChar w:fldCharType="separate"/>
      </w:r>
      <w:r w:rsidRPr="00CE243C">
        <w:rPr>
          <w:noProof/>
        </w:rPr>
        <w:t>(Adichi, 2009, p. 6)</w:t>
      </w:r>
      <w:r>
        <w:fldChar w:fldCharType="end"/>
      </w:r>
      <w:r>
        <w:t>.</w:t>
      </w:r>
      <w:r w:rsidRPr="00CE243C">
        <w:t xml:space="preserve"> </w:t>
      </w:r>
      <w:r>
        <w:t>Our goal for all students should be to create safe learning environments, where children feel connected because their differences are honoured and acknowledged. It is imperative that we take time to learn the stories of our students and their families, that we understand academic and socio-emotional goals for each of our students, regardless of their sexual orientation, immigration status, or religious beliefs.</w:t>
      </w:r>
      <w:r w:rsidR="005C7582">
        <w:t xml:space="preserve"> </w:t>
      </w:r>
      <w:r w:rsidR="0011221F">
        <w:t xml:space="preserve">Feuerverger (2011) notes that </w:t>
      </w:r>
      <w:r w:rsidR="0022529B">
        <w:t>it is a “necessity that classroom teachers and students find common ground in the midst of insurmountable difference,” that “teachers need to be border crossers who creat</w:t>
      </w:r>
      <w:r w:rsidR="00DF2128">
        <w:t xml:space="preserve">e </w:t>
      </w:r>
      <w:r w:rsidR="0022529B">
        <w:t>bridges filled with genuine dialogue”</w:t>
      </w:r>
      <w:r w:rsidR="00BB34B5">
        <w:fldChar w:fldCharType="begin" w:fldLock="1"/>
      </w:r>
      <w:r w:rsidR="00676187">
        <w:instrText>ADDIN CSL_CITATION {"citationItems":[{"id":"ITEM-1","itemData":{"DOI":"10.1108/S1479-3687(2011)00000130007","ISSN":"14793687","author":[{"dropping-particle":"","family":"Feuerverger","given":"Grace","non-dropping-particle":"","parse-names":false,"suffix":""}],"container-title":"Advances in Research on Teaching","id":"ITEM-1","issue":"2011","issued":{"date-parts":[["2011"]]},"page":"71-89","title":"Teaching for the love of it: An education professor's narrative at the crossroad of language, culture, and identity","type":"article-journal","volume":"13"},"locator":"77","uris":["http://www.mendeley.com/documents/?uuid=83cfd474-f06f-4430-a141-bde8a096b6e2"]}],"mendeley":{"formattedCitation":"(Feuerverger, 2011, p. 77)","plainTextFormattedCitation":"(Feuerverger, 2011, p. 77)","previouslyFormattedCitation":"(Feuerverger, 2011, p. 77)"},"properties":{"noteIndex":0},"schema":"https://github.com/citation-style-language/schema/raw/master/csl-citation.json"}</w:instrText>
      </w:r>
      <w:r w:rsidR="00BB34B5">
        <w:fldChar w:fldCharType="separate"/>
      </w:r>
      <w:r w:rsidR="00BB34B5" w:rsidRPr="00BB34B5">
        <w:rPr>
          <w:noProof/>
        </w:rPr>
        <w:t>(Feuerverger, 2011, p. 77)</w:t>
      </w:r>
      <w:r w:rsidR="00BB34B5">
        <w:fldChar w:fldCharType="end"/>
      </w:r>
      <w:r w:rsidR="00BB34B5">
        <w:t>.</w:t>
      </w:r>
      <w:r>
        <w:t xml:space="preserve"> </w:t>
      </w:r>
      <w:r w:rsidR="0052387D">
        <w:t>Educators</w:t>
      </w:r>
      <w:r>
        <w:t xml:space="preserve"> need to feel honoured that we have the opportunity to be part of </w:t>
      </w:r>
      <w:r w:rsidR="0052387D">
        <w:t>each of our students</w:t>
      </w:r>
      <w:r>
        <w:t xml:space="preserve"> educational journey in Canada.</w:t>
      </w:r>
      <w:r w:rsidR="0052387D" w:rsidRPr="0052387D">
        <w:t xml:space="preserve"> </w:t>
      </w:r>
      <w:r w:rsidR="0052387D">
        <w:t xml:space="preserve">In the end, it’s about treating each student and family with openness, empathy, and kindness; empowering us to create a school community where everyone feels included and respected, where we are all just human. </w:t>
      </w:r>
    </w:p>
    <w:p w14:paraId="37457314" w14:textId="6E307676" w:rsidR="00924EAF" w:rsidRDefault="00924EAF" w:rsidP="00180FE4">
      <w:pPr>
        <w:jc w:val="center"/>
      </w:pPr>
      <w:r w:rsidRPr="00924EAF">
        <w:rPr>
          <w:rFonts w:ascii="Calibri" w:hAnsi="Calibri" w:cs="Calibri"/>
        </w:rPr>
        <w:t>﻿</w:t>
      </w:r>
      <w:r w:rsidR="00180FE4" w:rsidRPr="00180FE4">
        <w:rPr>
          <w:rFonts w:ascii="Calibri" w:hAnsi="Calibri" w:cs="Calibri"/>
          <w:b/>
        </w:rPr>
        <w:t>References</w:t>
      </w:r>
    </w:p>
    <w:p w14:paraId="69A24FD9" w14:textId="77777777" w:rsidR="004C0EBA" w:rsidRDefault="00805AB2" w:rsidP="00805AB2">
      <w:r>
        <w:t>﻿</w:t>
      </w:r>
    </w:p>
    <w:p w14:paraId="73C15164" w14:textId="0BE0AAF5" w:rsidR="00EA78F1" w:rsidRPr="00EA78F1" w:rsidRDefault="00180FE4" w:rsidP="00EA78F1">
      <w:pPr>
        <w:widowControl w:val="0"/>
        <w:autoSpaceDE w:val="0"/>
        <w:autoSpaceDN w:val="0"/>
        <w:adjustRightInd w:val="0"/>
        <w:spacing w:line="480" w:lineRule="auto"/>
        <w:ind w:left="480" w:hanging="480"/>
        <w:rPr>
          <w:rFonts w:ascii="Calibri" w:hAnsi="Calibri" w:cs="Calibri"/>
          <w:noProof/>
          <w:lang w:val="en-US"/>
        </w:rPr>
      </w:pPr>
      <w:r>
        <w:fldChar w:fldCharType="begin" w:fldLock="1"/>
      </w:r>
      <w:r>
        <w:instrText xml:space="preserve">ADDIN Mendeley Bibliography CSL_BIBLIOGRAPHY </w:instrText>
      </w:r>
      <w:r>
        <w:fldChar w:fldCharType="separate"/>
      </w:r>
      <w:r w:rsidR="00EA78F1" w:rsidRPr="00EA78F1">
        <w:rPr>
          <w:rFonts w:ascii="Calibri" w:hAnsi="Calibri" w:cs="Calibri"/>
          <w:noProof/>
          <w:lang w:val="en-US"/>
        </w:rPr>
        <w:t xml:space="preserve">Adichi, C. N. (2009). The danger of a single story. </w:t>
      </w:r>
      <w:r w:rsidR="00EA78F1" w:rsidRPr="00EA78F1">
        <w:rPr>
          <w:rFonts w:ascii="Calibri" w:hAnsi="Calibri" w:cs="Calibri"/>
          <w:i/>
          <w:iCs/>
          <w:noProof/>
          <w:lang w:val="en-US"/>
        </w:rPr>
        <w:t>TEDGlobal</w:t>
      </w:r>
      <w:r w:rsidR="00EA78F1" w:rsidRPr="00EA78F1">
        <w:rPr>
          <w:rFonts w:ascii="Calibri" w:hAnsi="Calibri" w:cs="Calibri"/>
          <w:noProof/>
          <w:lang w:val="en-US"/>
        </w:rPr>
        <w:t xml:space="preserve">, 1–6. </w:t>
      </w:r>
    </w:p>
    <w:p w14:paraId="5A5C6ACE" w14:textId="35BC178F" w:rsidR="00EA78F1" w:rsidRPr="00EA78F1" w:rsidRDefault="00EA78F1" w:rsidP="00EA78F1">
      <w:pPr>
        <w:widowControl w:val="0"/>
        <w:autoSpaceDE w:val="0"/>
        <w:autoSpaceDN w:val="0"/>
        <w:adjustRightInd w:val="0"/>
        <w:spacing w:line="480" w:lineRule="auto"/>
        <w:ind w:left="480" w:hanging="480"/>
        <w:rPr>
          <w:rFonts w:ascii="Calibri" w:hAnsi="Calibri" w:cs="Calibri"/>
          <w:noProof/>
          <w:lang w:val="en-US"/>
        </w:rPr>
      </w:pPr>
      <w:r w:rsidRPr="00EA78F1">
        <w:rPr>
          <w:rFonts w:ascii="Calibri" w:hAnsi="Calibri" w:cs="Calibri"/>
          <w:noProof/>
          <w:lang w:val="en-US"/>
        </w:rPr>
        <w:t xml:space="preserve">Bail, J., &amp; Craig, A. (2017). Transgender culture and resources. </w:t>
      </w:r>
      <w:r w:rsidRPr="00EA78F1">
        <w:rPr>
          <w:rFonts w:ascii="Calibri" w:hAnsi="Calibri" w:cs="Calibri"/>
          <w:i/>
          <w:iCs/>
          <w:noProof/>
          <w:lang w:val="en-US"/>
        </w:rPr>
        <w:t>Reference &amp; User Services Quarterly</w:t>
      </w:r>
      <w:r w:rsidRPr="00EA78F1">
        <w:rPr>
          <w:rFonts w:ascii="Calibri" w:hAnsi="Calibri" w:cs="Calibri"/>
          <w:noProof/>
          <w:lang w:val="en-US"/>
        </w:rPr>
        <w:t xml:space="preserve">, </w:t>
      </w:r>
      <w:r w:rsidRPr="00EA78F1">
        <w:rPr>
          <w:rFonts w:ascii="Calibri" w:hAnsi="Calibri" w:cs="Calibri"/>
          <w:i/>
          <w:iCs/>
          <w:noProof/>
          <w:lang w:val="en-US"/>
        </w:rPr>
        <w:t>56</w:t>
      </w:r>
      <w:r w:rsidRPr="00EA78F1">
        <w:rPr>
          <w:rFonts w:ascii="Calibri" w:hAnsi="Calibri" w:cs="Calibri"/>
          <w:noProof/>
          <w:lang w:val="en-US"/>
        </w:rPr>
        <w:t xml:space="preserve">(4), 249–254. </w:t>
      </w:r>
    </w:p>
    <w:p w14:paraId="267A35E2" w14:textId="77777777" w:rsidR="00EA78F1" w:rsidRPr="00EA78F1" w:rsidRDefault="00EA78F1" w:rsidP="00EA78F1">
      <w:pPr>
        <w:widowControl w:val="0"/>
        <w:autoSpaceDE w:val="0"/>
        <w:autoSpaceDN w:val="0"/>
        <w:adjustRightInd w:val="0"/>
        <w:spacing w:line="480" w:lineRule="auto"/>
        <w:ind w:left="480" w:hanging="480"/>
        <w:rPr>
          <w:rFonts w:ascii="Calibri" w:hAnsi="Calibri" w:cs="Calibri"/>
          <w:noProof/>
          <w:lang w:val="en-US"/>
        </w:rPr>
      </w:pPr>
      <w:r w:rsidRPr="00EA78F1">
        <w:rPr>
          <w:rFonts w:ascii="Calibri" w:hAnsi="Calibri" w:cs="Calibri"/>
          <w:noProof/>
          <w:lang w:val="en-US"/>
        </w:rPr>
        <w:t xml:space="preserve">Chryssides, G. D. (2009). </w:t>
      </w:r>
      <w:r w:rsidRPr="00EA78F1">
        <w:rPr>
          <w:rFonts w:ascii="Calibri" w:hAnsi="Calibri" w:cs="Calibri"/>
          <w:i/>
          <w:iCs/>
          <w:noProof/>
          <w:lang w:val="en-US"/>
        </w:rPr>
        <w:t>The a to z’s of Jehovah’s Witnesses</w:t>
      </w:r>
      <w:r w:rsidRPr="00EA78F1">
        <w:rPr>
          <w:rFonts w:ascii="Calibri" w:hAnsi="Calibri" w:cs="Calibri"/>
          <w:noProof/>
          <w:lang w:val="en-US"/>
        </w:rPr>
        <w:t>.</w:t>
      </w:r>
    </w:p>
    <w:p w14:paraId="3971D8CC" w14:textId="2A6D149A" w:rsidR="00EA78F1" w:rsidRPr="00EA78F1" w:rsidRDefault="00EA78F1" w:rsidP="00EA78F1">
      <w:pPr>
        <w:widowControl w:val="0"/>
        <w:autoSpaceDE w:val="0"/>
        <w:autoSpaceDN w:val="0"/>
        <w:adjustRightInd w:val="0"/>
        <w:spacing w:line="480" w:lineRule="auto"/>
        <w:ind w:left="480" w:hanging="480"/>
        <w:rPr>
          <w:rFonts w:ascii="Calibri" w:hAnsi="Calibri" w:cs="Calibri"/>
          <w:noProof/>
          <w:lang w:val="en-US"/>
        </w:rPr>
      </w:pPr>
      <w:r w:rsidRPr="00EA78F1">
        <w:rPr>
          <w:rFonts w:ascii="Calibri" w:hAnsi="Calibri" w:cs="Calibri"/>
          <w:noProof/>
          <w:lang w:val="en-US"/>
        </w:rPr>
        <w:t xml:space="preserve">Clarke, P. (2005). Religion, public education and the charter: Where do we go now? </w:t>
      </w:r>
      <w:r w:rsidRPr="00EA78F1">
        <w:rPr>
          <w:rFonts w:ascii="Calibri" w:hAnsi="Calibri" w:cs="Calibri"/>
          <w:i/>
          <w:iCs/>
          <w:noProof/>
          <w:lang w:val="en-US"/>
        </w:rPr>
        <w:t>Fall</w:t>
      </w:r>
      <w:r w:rsidRPr="00EA78F1">
        <w:rPr>
          <w:rFonts w:ascii="Calibri" w:hAnsi="Calibri" w:cs="Calibri"/>
          <w:noProof/>
          <w:lang w:val="en-US"/>
        </w:rPr>
        <w:t xml:space="preserve">, </w:t>
      </w:r>
      <w:r w:rsidRPr="00EA78F1">
        <w:rPr>
          <w:rFonts w:ascii="Calibri" w:hAnsi="Calibri" w:cs="Calibri"/>
          <w:i/>
          <w:iCs/>
          <w:noProof/>
          <w:lang w:val="en-US"/>
        </w:rPr>
        <w:t>40</w:t>
      </w:r>
      <w:r w:rsidRPr="00EA78F1">
        <w:rPr>
          <w:rFonts w:ascii="Calibri" w:hAnsi="Calibri" w:cs="Calibri"/>
          <w:noProof/>
          <w:lang w:val="en-US"/>
        </w:rPr>
        <w:t xml:space="preserve">(3), 351–381. </w:t>
      </w:r>
    </w:p>
    <w:p w14:paraId="5F96DEB4" w14:textId="77777777" w:rsidR="00EA78F1" w:rsidRPr="00EA78F1" w:rsidRDefault="00EA78F1" w:rsidP="00EA78F1">
      <w:pPr>
        <w:widowControl w:val="0"/>
        <w:autoSpaceDE w:val="0"/>
        <w:autoSpaceDN w:val="0"/>
        <w:adjustRightInd w:val="0"/>
        <w:spacing w:line="480" w:lineRule="auto"/>
        <w:ind w:left="480" w:hanging="480"/>
        <w:rPr>
          <w:rFonts w:ascii="Calibri" w:hAnsi="Calibri" w:cs="Calibri"/>
          <w:noProof/>
          <w:lang w:val="en-US"/>
        </w:rPr>
      </w:pPr>
      <w:r w:rsidRPr="00EA78F1">
        <w:rPr>
          <w:rFonts w:ascii="Calibri" w:hAnsi="Calibri" w:cs="Calibri"/>
          <w:noProof/>
          <w:lang w:val="en-US"/>
        </w:rPr>
        <w:t xml:space="preserve">Clarke, P. (2012). Case comment: Religion and public schools in Quebec: The Supreme Court of Canada has spoken... at least for now. </w:t>
      </w:r>
      <w:r w:rsidRPr="00EA78F1">
        <w:rPr>
          <w:rFonts w:ascii="Calibri" w:hAnsi="Calibri" w:cs="Calibri"/>
          <w:i/>
          <w:iCs/>
          <w:noProof/>
          <w:lang w:val="en-US"/>
        </w:rPr>
        <w:t>Education and Law Journal</w:t>
      </w:r>
      <w:r w:rsidRPr="00EA78F1">
        <w:rPr>
          <w:rFonts w:ascii="Calibri" w:hAnsi="Calibri" w:cs="Calibri"/>
          <w:noProof/>
          <w:lang w:val="en-US"/>
        </w:rPr>
        <w:t xml:space="preserve">, </w:t>
      </w:r>
      <w:r w:rsidRPr="00EA78F1">
        <w:rPr>
          <w:rFonts w:ascii="Calibri" w:hAnsi="Calibri" w:cs="Calibri"/>
          <w:i/>
          <w:iCs/>
          <w:noProof/>
          <w:lang w:val="en-US"/>
        </w:rPr>
        <w:t>21</w:t>
      </w:r>
      <w:r w:rsidRPr="00EA78F1">
        <w:rPr>
          <w:rFonts w:ascii="Calibri" w:hAnsi="Calibri" w:cs="Calibri"/>
          <w:noProof/>
          <w:lang w:val="en-US"/>
        </w:rPr>
        <w:t>, 168–183. Retrieved from https://www7.mels.gouv.qc.ca/DC/ECR/primaire/index_en.php?page=3Dpreambule.</w:t>
      </w:r>
    </w:p>
    <w:p w14:paraId="39EA7C01" w14:textId="0DB9C2A6" w:rsidR="00EA78F1" w:rsidRPr="00EA78F1" w:rsidRDefault="00EA78F1" w:rsidP="00EA78F1">
      <w:pPr>
        <w:widowControl w:val="0"/>
        <w:autoSpaceDE w:val="0"/>
        <w:autoSpaceDN w:val="0"/>
        <w:adjustRightInd w:val="0"/>
        <w:spacing w:line="480" w:lineRule="auto"/>
        <w:ind w:left="480" w:hanging="480"/>
        <w:rPr>
          <w:rFonts w:ascii="Calibri" w:hAnsi="Calibri" w:cs="Calibri"/>
          <w:noProof/>
          <w:lang w:val="en-US"/>
        </w:rPr>
      </w:pPr>
      <w:r w:rsidRPr="00EA78F1">
        <w:rPr>
          <w:rFonts w:ascii="Calibri" w:hAnsi="Calibri" w:cs="Calibri"/>
          <w:noProof/>
          <w:lang w:val="en-US"/>
        </w:rPr>
        <w:t xml:space="preserve">Darling, E. M. (2011). Religion in public schools. </w:t>
      </w:r>
      <w:r w:rsidRPr="00EA78F1">
        <w:rPr>
          <w:rFonts w:ascii="Calibri" w:hAnsi="Calibri" w:cs="Calibri"/>
          <w:i/>
          <w:iCs/>
          <w:noProof/>
          <w:lang w:val="en-US"/>
        </w:rPr>
        <w:t>Religion in Education</w:t>
      </w:r>
      <w:r w:rsidRPr="00EA78F1">
        <w:rPr>
          <w:rFonts w:ascii="Calibri" w:hAnsi="Calibri" w:cs="Calibri"/>
          <w:noProof/>
          <w:lang w:val="en-US"/>
        </w:rPr>
        <w:t xml:space="preserve">, </w:t>
      </w:r>
      <w:r w:rsidRPr="00EA78F1">
        <w:rPr>
          <w:rFonts w:ascii="Calibri" w:hAnsi="Calibri" w:cs="Calibri"/>
          <w:i/>
          <w:iCs/>
          <w:noProof/>
          <w:lang w:val="en-US"/>
        </w:rPr>
        <w:t>5</w:t>
      </w:r>
      <w:r w:rsidRPr="00EA78F1">
        <w:rPr>
          <w:rFonts w:ascii="Calibri" w:hAnsi="Calibri" w:cs="Calibri"/>
          <w:noProof/>
          <w:lang w:val="en-US"/>
        </w:rPr>
        <w:t xml:space="preserve">(4), 192–199. </w:t>
      </w:r>
    </w:p>
    <w:p w14:paraId="73A3F951" w14:textId="38FAEF43" w:rsidR="00EA78F1" w:rsidRPr="00EA78F1" w:rsidRDefault="00EA78F1" w:rsidP="00EA78F1">
      <w:pPr>
        <w:widowControl w:val="0"/>
        <w:autoSpaceDE w:val="0"/>
        <w:autoSpaceDN w:val="0"/>
        <w:adjustRightInd w:val="0"/>
        <w:spacing w:line="480" w:lineRule="auto"/>
        <w:ind w:left="480" w:hanging="480"/>
        <w:rPr>
          <w:rFonts w:ascii="Calibri" w:hAnsi="Calibri" w:cs="Calibri"/>
          <w:noProof/>
          <w:lang w:val="en-US"/>
        </w:rPr>
      </w:pPr>
      <w:r w:rsidRPr="00EA78F1">
        <w:rPr>
          <w:rFonts w:ascii="Calibri" w:hAnsi="Calibri" w:cs="Calibri"/>
          <w:noProof/>
          <w:lang w:val="en-US"/>
        </w:rPr>
        <w:t xml:space="preserve">Dryden-Peterson, S., Dahya, N., &amp; Adelman, E. (2017). Pathways to Educational Success Among Refugees: Connecting Locally and Globally Situated Resources. </w:t>
      </w:r>
      <w:r w:rsidRPr="00EA78F1">
        <w:rPr>
          <w:rFonts w:ascii="Calibri" w:hAnsi="Calibri" w:cs="Calibri"/>
          <w:i/>
          <w:iCs/>
          <w:noProof/>
          <w:lang w:val="en-US"/>
        </w:rPr>
        <w:t>American Educational Research Journal</w:t>
      </w:r>
      <w:r w:rsidRPr="00EA78F1">
        <w:rPr>
          <w:rFonts w:ascii="Calibri" w:hAnsi="Calibri" w:cs="Calibri"/>
          <w:noProof/>
          <w:lang w:val="en-US"/>
        </w:rPr>
        <w:t xml:space="preserve">, </w:t>
      </w:r>
      <w:r w:rsidRPr="00EA78F1">
        <w:rPr>
          <w:rFonts w:ascii="Calibri" w:hAnsi="Calibri" w:cs="Calibri"/>
          <w:i/>
          <w:iCs/>
          <w:noProof/>
          <w:lang w:val="en-US"/>
        </w:rPr>
        <w:t>54</w:t>
      </w:r>
      <w:r w:rsidRPr="00EA78F1">
        <w:rPr>
          <w:rFonts w:ascii="Calibri" w:hAnsi="Calibri" w:cs="Calibri"/>
          <w:noProof/>
          <w:lang w:val="en-US"/>
        </w:rPr>
        <w:t xml:space="preserve">(6), 1011–1047. </w:t>
      </w:r>
    </w:p>
    <w:p w14:paraId="74A09926" w14:textId="023150F1" w:rsidR="00EA78F1" w:rsidRPr="00EA78F1" w:rsidRDefault="00EA78F1" w:rsidP="00EA78F1">
      <w:pPr>
        <w:widowControl w:val="0"/>
        <w:autoSpaceDE w:val="0"/>
        <w:autoSpaceDN w:val="0"/>
        <w:adjustRightInd w:val="0"/>
        <w:spacing w:line="480" w:lineRule="auto"/>
        <w:ind w:left="480" w:hanging="480"/>
        <w:rPr>
          <w:rFonts w:ascii="Calibri" w:hAnsi="Calibri" w:cs="Calibri"/>
          <w:noProof/>
          <w:lang w:val="en-US"/>
        </w:rPr>
      </w:pPr>
      <w:r w:rsidRPr="00EA78F1">
        <w:rPr>
          <w:rFonts w:ascii="Calibri" w:hAnsi="Calibri" w:cs="Calibri"/>
          <w:noProof/>
          <w:lang w:val="en-US"/>
        </w:rPr>
        <w:t xml:space="preserve">Elischberger, H. B., Glazier, J. J., Hill, E. D., &amp; Verduzco-Baker, L. (2016). “Boys don’t cry”—or do they? Adult attitudes toward and beliefs about transgender youth. </w:t>
      </w:r>
      <w:r w:rsidRPr="00EA78F1">
        <w:rPr>
          <w:rFonts w:ascii="Calibri" w:hAnsi="Calibri" w:cs="Calibri"/>
          <w:i/>
          <w:iCs/>
          <w:noProof/>
          <w:lang w:val="en-US"/>
        </w:rPr>
        <w:t>Sex Roles</w:t>
      </w:r>
      <w:r w:rsidRPr="00EA78F1">
        <w:rPr>
          <w:rFonts w:ascii="Calibri" w:hAnsi="Calibri" w:cs="Calibri"/>
          <w:noProof/>
          <w:lang w:val="en-US"/>
        </w:rPr>
        <w:t xml:space="preserve">, </w:t>
      </w:r>
      <w:r w:rsidRPr="00EA78F1">
        <w:rPr>
          <w:rFonts w:ascii="Calibri" w:hAnsi="Calibri" w:cs="Calibri"/>
          <w:i/>
          <w:iCs/>
          <w:noProof/>
          <w:lang w:val="en-US"/>
        </w:rPr>
        <w:t>75</w:t>
      </w:r>
      <w:r w:rsidRPr="00EA78F1">
        <w:rPr>
          <w:rFonts w:ascii="Calibri" w:hAnsi="Calibri" w:cs="Calibri"/>
          <w:noProof/>
          <w:lang w:val="en-US"/>
        </w:rPr>
        <w:t xml:space="preserve">(5–6), 197–214. </w:t>
      </w:r>
    </w:p>
    <w:p w14:paraId="50204967" w14:textId="0AABF70C" w:rsidR="00EA78F1" w:rsidRPr="00EA78F1" w:rsidRDefault="00EA78F1" w:rsidP="00EA78F1">
      <w:pPr>
        <w:widowControl w:val="0"/>
        <w:autoSpaceDE w:val="0"/>
        <w:autoSpaceDN w:val="0"/>
        <w:adjustRightInd w:val="0"/>
        <w:spacing w:line="480" w:lineRule="auto"/>
        <w:ind w:left="480" w:hanging="480"/>
        <w:rPr>
          <w:rFonts w:ascii="Calibri" w:hAnsi="Calibri" w:cs="Calibri"/>
          <w:noProof/>
          <w:lang w:val="en-US"/>
        </w:rPr>
      </w:pPr>
      <w:r w:rsidRPr="00EA78F1">
        <w:rPr>
          <w:rFonts w:ascii="Calibri" w:hAnsi="Calibri" w:cs="Calibri"/>
          <w:noProof/>
          <w:lang w:val="en-US"/>
        </w:rPr>
        <w:t xml:space="preserve">Feuerverger, G. (2011). Teaching for the love of it: An education professor’s narrative at the crossroad of language, culture, and identity. </w:t>
      </w:r>
      <w:r w:rsidRPr="00EA78F1">
        <w:rPr>
          <w:rFonts w:ascii="Calibri" w:hAnsi="Calibri" w:cs="Calibri"/>
          <w:i/>
          <w:iCs/>
          <w:noProof/>
          <w:lang w:val="en-US"/>
        </w:rPr>
        <w:t>Advances in Research on Teaching</w:t>
      </w:r>
      <w:r w:rsidRPr="00EA78F1">
        <w:rPr>
          <w:rFonts w:ascii="Calibri" w:hAnsi="Calibri" w:cs="Calibri"/>
          <w:noProof/>
          <w:lang w:val="en-US"/>
        </w:rPr>
        <w:t xml:space="preserve">, </w:t>
      </w:r>
      <w:r w:rsidRPr="00EA78F1">
        <w:rPr>
          <w:rFonts w:ascii="Calibri" w:hAnsi="Calibri" w:cs="Calibri"/>
          <w:i/>
          <w:iCs/>
          <w:noProof/>
          <w:lang w:val="en-US"/>
        </w:rPr>
        <w:t>13</w:t>
      </w:r>
      <w:r w:rsidRPr="00EA78F1">
        <w:rPr>
          <w:rFonts w:ascii="Calibri" w:hAnsi="Calibri" w:cs="Calibri"/>
          <w:noProof/>
          <w:lang w:val="en-US"/>
        </w:rPr>
        <w:t xml:space="preserve">(2011), 71–89. </w:t>
      </w:r>
    </w:p>
    <w:p w14:paraId="01ACE557" w14:textId="34610FE8" w:rsidR="00EA78F1" w:rsidRPr="00EA78F1" w:rsidRDefault="00EA78F1" w:rsidP="00EA78F1">
      <w:pPr>
        <w:widowControl w:val="0"/>
        <w:autoSpaceDE w:val="0"/>
        <w:autoSpaceDN w:val="0"/>
        <w:adjustRightInd w:val="0"/>
        <w:spacing w:line="480" w:lineRule="auto"/>
        <w:ind w:left="480" w:hanging="480"/>
        <w:rPr>
          <w:rFonts w:ascii="Calibri" w:hAnsi="Calibri" w:cs="Calibri"/>
          <w:noProof/>
          <w:lang w:val="en-US"/>
        </w:rPr>
      </w:pPr>
      <w:r w:rsidRPr="00EA78F1">
        <w:rPr>
          <w:rFonts w:ascii="Calibri" w:hAnsi="Calibri" w:cs="Calibri"/>
          <w:noProof/>
          <w:lang w:val="en-US"/>
        </w:rPr>
        <w:t xml:space="preserve">Gillig, T. K., Rosenthal, E. L., Murphy, S. T., &amp; Folb, K. L. (2018). More than a media moment: The influence of televised storylines on viewers’ attitudes toward transgender people and policies. </w:t>
      </w:r>
      <w:r w:rsidRPr="00EA78F1">
        <w:rPr>
          <w:rFonts w:ascii="Calibri" w:hAnsi="Calibri" w:cs="Calibri"/>
          <w:i/>
          <w:iCs/>
          <w:noProof/>
          <w:lang w:val="en-US"/>
        </w:rPr>
        <w:t>Sex Roles</w:t>
      </w:r>
      <w:r w:rsidRPr="00EA78F1">
        <w:rPr>
          <w:rFonts w:ascii="Calibri" w:hAnsi="Calibri" w:cs="Calibri"/>
          <w:noProof/>
          <w:lang w:val="en-US"/>
        </w:rPr>
        <w:t xml:space="preserve">, </w:t>
      </w:r>
      <w:r w:rsidRPr="00EA78F1">
        <w:rPr>
          <w:rFonts w:ascii="Calibri" w:hAnsi="Calibri" w:cs="Calibri"/>
          <w:i/>
          <w:iCs/>
          <w:noProof/>
          <w:lang w:val="en-US"/>
        </w:rPr>
        <w:t>78</w:t>
      </w:r>
      <w:r w:rsidRPr="00EA78F1">
        <w:rPr>
          <w:rFonts w:ascii="Calibri" w:hAnsi="Calibri" w:cs="Calibri"/>
          <w:noProof/>
          <w:lang w:val="en-US"/>
        </w:rPr>
        <w:t xml:space="preserve">(7–8), 515–527. </w:t>
      </w:r>
    </w:p>
    <w:p w14:paraId="60E6E3D0" w14:textId="240D7C2A" w:rsidR="00EA78F1" w:rsidRPr="00EA78F1" w:rsidRDefault="00EA78F1" w:rsidP="00EA78F1">
      <w:pPr>
        <w:widowControl w:val="0"/>
        <w:autoSpaceDE w:val="0"/>
        <w:autoSpaceDN w:val="0"/>
        <w:adjustRightInd w:val="0"/>
        <w:spacing w:line="480" w:lineRule="auto"/>
        <w:ind w:left="480" w:hanging="480"/>
        <w:rPr>
          <w:rFonts w:ascii="Calibri" w:hAnsi="Calibri" w:cs="Calibri"/>
          <w:noProof/>
          <w:lang w:val="en-US"/>
        </w:rPr>
      </w:pPr>
      <w:r w:rsidRPr="00EA78F1">
        <w:rPr>
          <w:rFonts w:ascii="Calibri" w:hAnsi="Calibri" w:cs="Calibri"/>
          <w:noProof/>
          <w:lang w:val="en-US"/>
        </w:rPr>
        <w:t xml:space="preserve">Hadfield, K., Ostrowski, A., &amp; Ungar, M. (2017). What can we expect of the mental health and well-being of Syrian refugee children and adolescents in Canada? </w:t>
      </w:r>
      <w:r w:rsidRPr="00EA78F1">
        <w:rPr>
          <w:rFonts w:ascii="Calibri" w:hAnsi="Calibri" w:cs="Calibri"/>
          <w:i/>
          <w:iCs/>
          <w:noProof/>
          <w:lang w:val="en-US"/>
        </w:rPr>
        <w:t>Canadian Psychology</w:t>
      </w:r>
      <w:r w:rsidRPr="00EA78F1">
        <w:rPr>
          <w:rFonts w:ascii="Calibri" w:hAnsi="Calibri" w:cs="Calibri"/>
          <w:noProof/>
          <w:lang w:val="en-US"/>
        </w:rPr>
        <w:t xml:space="preserve">, </w:t>
      </w:r>
      <w:r w:rsidRPr="00EA78F1">
        <w:rPr>
          <w:rFonts w:ascii="Calibri" w:hAnsi="Calibri" w:cs="Calibri"/>
          <w:i/>
          <w:iCs/>
          <w:noProof/>
          <w:lang w:val="en-US"/>
        </w:rPr>
        <w:t>58</w:t>
      </w:r>
      <w:r w:rsidRPr="00EA78F1">
        <w:rPr>
          <w:rFonts w:ascii="Calibri" w:hAnsi="Calibri" w:cs="Calibri"/>
          <w:noProof/>
          <w:lang w:val="en-US"/>
        </w:rPr>
        <w:t xml:space="preserve">(2), 194–201. </w:t>
      </w:r>
    </w:p>
    <w:p w14:paraId="14BE9F06" w14:textId="77777777" w:rsidR="00EA78F1" w:rsidRPr="00EA78F1" w:rsidRDefault="00EA78F1" w:rsidP="00EA78F1">
      <w:pPr>
        <w:widowControl w:val="0"/>
        <w:autoSpaceDE w:val="0"/>
        <w:autoSpaceDN w:val="0"/>
        <w:adjustRightInd w:val="0"/>
        <w:spacing w:line="480" w:lineRule="auto"/>
        <w:ind w:left="480" w:hanging="480"/>
        <w:rPr>
          <w:rFonts w:ascii="Calibri" w:hAnsi="Calibri" w:cs="Calibri"/>
          <w:noProof/>
          <w:lang w:val="en-US"/>
        </w:rPr>
      </w:pPr>
      <w:r w:rsidRPr="00EA78F1">
        <w:rPr>
          <w:rFonts w:ascii="Calibri" w:hAnsi="Calibri" w:cs="Calibri"/>
          <w:noProof/>
          <w:lang w:val="en-US"/>
        </w:rPr>
        <w:t xml:space="preserve">Holden, A. (2002). </w:t>
      </w:r>
      <w:r w:rsidRPr="00EA78F1">
        <w:rPr>
          <w:rFonts w:ascii="Calibri" w:hAnsi="Calibri" w:cs="Calibri"/>
          <w:i/>
          <w:iCs/>
          <w:noProof/>
          <w:lang w:val="en-US"/>
        </w:rPr>
        <w:t>Jehovah’s Witnesses: Portrait of a contemporary religious movement.</w:t>
      </w:r>
      <w:r w:rsidRPr="00EA78F1">
        <w:rPr>
          <w:rFonts w:ascii="Calibri" w:hAnsi="Calibri" w:cs="Calibri"/>
          <w:noProof/>
          <w:lang w:val="en-US"/>
        </w:rPr>
        <w:t xml:space="preserve"> Retrieved from https://ebookcentral.proquest.com</w:t>
      </w:r>
    </w:p>
    <w:p w14:paraId="6FE76857" w14:textId="7E8F6A13" w:rsidR="00EA78F1" w:rsidRPr="00EA78F1" w:rsidRDefault="00EA78F1" w:rsidP="00EA78F1">
      <w:pPr>
        <w:widowControl w:val="0"/>
        <w:autoSpaceDE w:val="0"/>
        <w:autoSpaceDN w:val="0"/>
        <w:adjustRightInd w:val="0"/>
        <w:spacing w:line="480" w:lineRule="auto"/>
        <w:ind w:left="480" w:hanging="480"/>
        <w:rPr>
          <w:rFonts w:ascii="Calibri" w:hAnsi="Calibri" w:cs="Calibri"/>
          <w:noProof/>
          <w:lang w:val="en-US"/>
        </w:rPr>
      </w:pPr>
      <w:r w:rsidRPr="00EA78F1">
        <w:rPr>
          <w:rFonts w:ascii="Calibri" w:hAnsi="Calibri" w:cs="Calibri"/>
          <w:noProof/>
          <w:lang w:val="en-US"/>
        </w:rPr>
        <w:t xml:space="preserve">Hynie, M. (2018). Canada’s Syrian refugee program, intergroup relationships and identities. </w:t>
      </w:r>
      <w:r w:rsidRPr="00EA78F1">
        <w:rPr>
          <w:rFonts w:ascii="Calibri" w:hAnsi="Calibri" w:cs="Calibri"/>
          <w:i/>
          <w:iCs/>
          <w:noProof/>
          <w:lang w:val="en-US"/>
        </w:rPr>
        <w:t>Canadian Ethnic Studies</w:t>
      </w:r>
      <w:r w:rsidRPr="00EA78F1">
        <w:rPr>
          <w:rFonts w:ascii="Calibri" w:hAnsi="Calibri" w:cs="Calibri"/>
          <w:noProof/>
          <w:lang w:val="en-US"/>
        </w:rPr>
        <w:t xml:space="preserve">, </w:t>
      </w:r>
      <w:r w:rsidRPr="00EA78F1">
        <w:rPr>
          <w:rFonts w:ascii="Calibri" w:hAnsi="Calibri" w:cs="Calibri"/>
          <w:i/>
          <w:iCs/>
          <w:noProof/>
          <w:lang w:val="en-US"/>
        </w:rPr>
        <w:t>50</w:t>
      </w:r>
      <w:r w:rsidRPr="00EA78F1">
        <w:rPr>
          <w:rFonts w:ascii="Calibri" w:hAnsi="Calibri" w:cs="Calibri"/>
          <w:noProof/>
          <w:lang w:val="en-US"/>
        </w:rPr>
        <w:t xml:space="preserve">(2), 1–12. </w:t>
      </w:r>
    </w:p>
    <w:p w14:paraId="1B9AD688" w14:textId="5CF7A8A4" w:rsidR="00EA78F1" w:rsidRPr="00EA78F1" w:rsidRDefault="00EA78F1" w:rsidP="00EA78F1">
      <w:pPr>
        <w:widowControl w:val="0"/>
        <w:autoSpaceDE w:val="0"/>
        <w:autoSpaceDN w:val="0"/>
        <w:adjustRightInd w:val="0"/>
        <w:spacing w:line="480" w:lineRule="auto"/>
        <w:ind w:left="480" w:hanging="480"/>
        <w:rPr>
          <w:rFonts w:ascii="Calibri" w:hAnsi="Calibri" w:cs="Calibri"/>
          <w:noProof/>
          <w:lang w:val="en-US"/>
        </w:rPr>
      </w:pPr>
      <w:r w:rsidRPr="00EA78F1">
        <w:rPr>
          <w:rFonts w:ascii="Calibri" w:hAnsi="Calibri" w:cs="Calibri"/>
          <w:noProof/>
          <w:lang w:val="en-US"/>
        </w:rPr>
        <w:t xml:space="preserve">Jacquet, M., &amp; D’Amico, L. (2016). Religious diversity and inclusion: Policy and accommodation practices in British Columbia’s secular school system. </w:t>
      </w:r>
      <w:r w:rsidRPr="00EA78F1">
        <w:rPr>
          <w:rFonts w:ascii="Calibri" w:hAnsi="Calibri" w:cs="Calibri"/>
          <w:i/>
          <w:iCs/>
          <w:noProof/>
          <w:lang w:val="en-US"/>
        </w:rPr>
        <w:t>Canadian Journal of Education</w:t>
      </w:r>
      <w:r w:rsidRPr="00EA78F1">
        <w:rPr>
          <w:rFonts w:ascii="Calibri" w:hAnsi="Calibri" w:cs="Calibri"/>
          <w:noProof/>
          <w:lang w:val="en-US"/>
        </w:rPr>
        <w:t xml:space="preserve">, </w:t>
      </w:r>
      <w:r w:rsidRPr="00EA78F1">
        <w:rPr>
          <w:rFonts w:ascii="Calibri" w:hAnsi="Calibri" w:cs="Calibri"/>
          <w:i/>
          <w:iCs/>
          <w:noProof/>
          <w:lang w:val="en-US"/>
        </w:rPr>
        <w:t>39</w:t>
      </w:r>
      <w:r w:rsidRPr="00EA78F1">
        <w:rPr>
          <w:rFonts w:ascii="Calibri" w:hAnsi="Calibri" w:cs="Calibri"/>
          <w:noProof/>
          <w:lang w:val="en-US"/>
        </w:rPr>
        <w:t xml:space="preserve">(2), 1–25. </w:t>
      </w:r>
    </w:p>
    <w:p w14:paraId="1E24DBE0" w14:textId="77777777" w:rsidR="00EA78F1" w:rsidRPr="00EA78F1" w:rsidRDefault="00EA78F1" w:rsidP="00EA78F1">
      <w:pPr>
        <w:widowControl w:val="0"/>
        <w:autoSpaceDE w:val="0"/>
        <w:autoSpaceDN w:val="0"/>
        <w:adjustRightInd w:val="0"/>
        <w:spacing w:line="480" w:lineRule="auto"/>
        <w:ind w:left="480" w:hanging="480"/>
        <w:rPr>
          <w:rFonts w:ascii="Calibri" w:hAnsi="Calibri" w:cs="Calibri"/>
          <w:noProof/>
          <w:lang w:val="en-US"/>
        </w:rPr>
      </w:pPr>
      <w:r w:rsidRPr="00EA78F1">
        <w:rPr>
          <w:rFonts w:ascii="Calibri" w:hAnsi="Calibri" w:cs="Calibri"/>
          <w:noProof/>
          <w:lang w:val="en-US"/>
        </w:rPr>
        <w:t xml:space="preserve">Knox, Z. (2018). </w:t>
      </w:r>
      <w:r w:rsidRPr="00EA78F1">
        <w:rPr>
          <w:rFonts w:ascii="Calibri" w:hAnsi="Calibri" w:cs="Calibri"/>
          <w:i/>
          <w:iCs/>
          <w:noProof/>
          <w:lang w:val="en-US"/>
        </w:rPr>
        <w:t>Jehovah’s Witnesses and the secular world: From the 1870s to the present</w:t>
      </w:r>
      <w:r w:rsidRPr="00EA78F1">
        <w:rPr>
          <w:rFonts w:ascii="Calibri" w:hAnsi="Calibri" w:cs="Calibri"/>
          <w:noProof/>
          <w:lang w:val="en-US"/>
        </w:rPr>
        <w:t>.</w:t>
      </w:r>
    </w:p>
    <w:p w14:paraId="0713EA42" w14:textId="59062CF5" w:rsidR="00EA78F1" w:rsidRPr="00EA78F1" w:rsidRDefault="00EA78F1" w:rsidP="00EA78F1">
      <w:pPr>
        <w:widowControl w:val="0"/>
        <w:autoSpaceDE w:val="0"/>
        <w:autoSpaceDN w:val="0"/>
        <w:adjustRightInd w:val="0"/>
        <w:spacing w:line="480" w:lineRule="auto"/>
        <w:ind w:left="480" w:hanging="480"/>
        <w:rPr>
          <w:rFonts w:ascii="Calibri" w:hAnsi="Calibri" w:cs="Calibri"/>
          <w:noProof/>
          <w:lang w:val="en-US"/>
        </w:rPr>
      </w:pPr>
      <w:r w:rsidRPr="00EA78F1">
        <w:rPr>
          <w:rFonts w:ascii="Calibri" w:hAnsi="Calibri" w:cs="Calibri"/>
          <w:noProof/>
          <w:lang w:val="en-US"/>
        </w:rPr>
        <w:t xml:space="preserve">Lacroix, M., Baffoe, M., &amp; Liguori, M. (2015). Refugee community organizations in Canada: From the margins to the mainstream? A challenge and opportunity for social workers. </w:t>
      </w:r>
      <w:r w:rsidRPr="00EA78F1">
        <w:rPr>
          <w:rFonts w:ascii="Calibri" w:hAnsi="Calibri" w:cs="Calibri"/>
          <w:i/>
          <w:iCs/>
          <w:noProof/>
          <w:lang w:val="en-US"/>
        </w:rPr>
        <w:t>International Journal of Social Welfare</w:t>
      </w:r>
      <w:r w:rsidRPr="00EA78F1">
        <w:rPr>
          <w:rFonts w:ascii="Calibri" w:hAnsi="Calibri" w:cs="Calibri"/>
          <w:noProof/>
          <w:lang w:val="en-US"/>
        </w:rPr>
        <w:t xml:space="preserve">, </w:t>
      </w:r>
      <w:r w:rsidRPr="00EA78F1">
        <w:rPr>
          <w:rFonts w:ascii="Calibri" w:hAnsi="Calibri" w:cs="Calibri"/>
          <w:i/>
          <w:iCs/>
          <w:noProof/>
          <w:lang w:val="en-US"/>
        </w:rPr>
        <w:t>24</w:t>
      </w:r>
      <w:r w:rsidRPr="00EA78F1">
        <w:rPr>
          <w:rFonts w:ascii="Calibri" w:hAnsi="Calibri" w:cs="Calibri"/>
          <w:noProof/>
          <w:lang w:val="en-US"/>
        </w:rPr>
        <w:t>(1), 62–72.</w:t>
      </w:r>
    </w:p>
    <w:p w14:paraId="1929BB8A" w14:textId="7DE74951" w:rsidR="004E227E" w:rsidRPr="00EA78F1" w:rsidRDefault="00EA78F1" w:rsidP="004E227E">
      <w:pPr>
        <w:widowControl w:val="0"/>
        <w:autoSpaceDE w:val="0"/>
        <w:autoSpaceDN w:val="0"/>
        <w:adjustRightInd w:val="0"/>
        <w:spacing w:line="480" w:lineRule="auto"/>
        <w:ind w:left="480" w:hanging="480"/>
        <w:rPr>
          <w:rFonts w:ascii="Calibri" w:hAnsi="Calibri" w:cs="Calibri"/>
          <w:noProof/>
          <w:lang w:val="en-US"/>
        </w:rPr>
      </w:pPr>
      <w:r w:rsidRPr="00EA78F1">
        <w:rPr>
          <w:rFonts w:ascii="Calibri" w:hAnsi="Calibri" w:cs="Calibri"/>
          <w:noProof/>
          <w:lang w:val="en-US"/>
        </w:rPr>
        <w:t xml:space="preserve">Macklin, A., Barber, K., Goldring, L., Hyndman, J., Korteweg, A., Labman, S., &amp; Zyfi, J. (2015). A Preliminary investigation into private refugee sponsors. </w:t>
      </w:r>
      <w:r w:rsidRPr="00EA78F1">
        <w:rPr>
          <w:rFonts w:ascii="Calibri" w:hAnsi="Calibri" w:cs="Calibri"/>
          <w:i/>
          <w:iCs/>
          <w:noProof/>
          <w:lang w:val="en-US"/>
        </w:rPr>
        <w:t>Canadian Ethnic Studies</w:t>
      </w:r>
      <w:r w:rsidRPr="00EA78F1">
        <w:rPr>
          <w:rFonts w:ascii="Calibri" w:hAnsi="Calibri" w:cs="Calibri"/>
          <w:noProof/>
          <w:lang w:val="en-US"/>
        </w:rPr>
        <w:t xml:space="preserve">, </w:t>
      </w:r>
      <w:r w:rsidRPr="00EA78F1">
        <w:rPr>
          <w:rFonts w:ascii="Calibri" w:hAnsi="Calibri" w:cs="Calibri"/>
          <w:i/>
          <w:iCs/>
          <w:noProof/>
          <w:lang w:val="en-US"/>
        </w:rPr>
        <w:t>50</w:t>
      </w:r>
      <w:r w:rsidRPr="00EA78F1">
        <w:rPr>
          <w:rFonts w:ascii="Calibri" w:hAnsi="Calibri" w:cs="Calibri"/>
          <w:noProof/>
          <w:lang w:val="en-US"/>
        </w:rPr>
        <w:t>(January), 35–58.</w:t>
      </w:r>
    </w:p>
    <w:p w14:paraId="25B18259" w14:textId="426E94C2" w:rsidR="00EA78F1" w:rsidRDefault="00EA78F1" w:rsidP="00EA78F1">
      <w:pPr>
        <w:widowControl w:val="0"/>
        <w:autoSpaceDE w:val="0"/>
        <w:autoSpaceDN w:val="0"/>
        <w:adjustRightInd w:val="0"/>
        <w:spacing w:line="480" w:lineRule="auto"/>
        <w:ind w:left="480" w:hanging="480"/>
        <w:rPr>
          <w:rFonts w:ascii="Calibri" w:hAnsi="Calibri" w:cs="Calibri"/>
          <w:noProof/>
          <w:lang w:val="en-US"/>
        </w:rPr>
      </w:pPr>
      <w:r w:rsidRPr="00EA78F1">
        <w:rPr>
          <w:rFonts w:ascii="Calibri" w:hAnsi="Calibri" w:cs="Calibri"/>
          <w:noProof/>
          <w:lang w:val="en-US"/>
        </w:rPr>
        <w:t xml:space="preserve">Marx, R., Roberts, L., &amp; Nixon, C. (2017). When care and concern are not enough: School personnel’s development as allies for trans and gender non-conforming students. </w:t>
      </w:r>
      <w:r w:rsidRPr="00EA78F1">
        <w:rPr>
          <w:rFonts w:ascii="Calibri" w:hAnsi="Calibri" w:cs="Calibri"/>
          <w:i/>
          <w:iCs/>
          <w:noProof/>
          <w:lang w:val="en-US"/>
        </w:rPr>
        <w:t>Social Sciences</w:t>
      </w:r>
      <w:r w:rsidRPr="00EA78F1">
        <w:rPr>
          <w:rFonts w:ascii="Calibri" w:hAnsi="Calibri" w:cs="Calibri"/>
          <w:noProof/>
          <w:lang w:val="en-US"/>
        </w:rPr>
        <w:t xml:space="preserve">, </w:t>
      </w:r>
      <w:r w:rsidRPr="00EA78F1">
        <w:rPr>
          <w:rFonts w:ascii="Calibri" w:hAnsi="Calibri" w:cs="Calibri"/>
          <w:i/>
          <w:iCs/>
          <w:noProof/>
          <w:lang w:val="en-US"/>
        </w:rPr>
        <w:t>6</w:t>
      </w:r>
      <w:r w:rsidRPr="00EA78F1">
        <w:rPr>
          <w:rFonts w:ascii="Calibri" w:hAnsi="Calibri" w:cs="Calibri"/>
          <w:noProof/>
          <w:lang w:val="en-US"/>
        </w:rPr>
        <w:t xml:space="preserve">(1), 11. </w:t>
      </w:r>
    </w:p>
    <w:p w14:paraId="25E25B7D" w14:textId="425F31CC" w:rsidR="00EA78F1" w:rsidRPr="00EA78F1" w:rsidRDefault="00EA78F1" w:rsidP="00EA78F1">
      <w:pPr>
        <w:widowControl w:val="0"/>
        <w:autoSpaceDE w:val="0"/>
        <w:autoSpaceDN w:val="0"/>
        <w:adjustRightInd w:val="0"/>
        <w:spacing w:line="480" w:lineRule="auto"/>
        <w:ind w:left="480" w:hanging="480"/>
        <w:rPr>
          <w:rFonts w:ascii="Calibri" w:hAnsi="Calibri" w:cs="Calibri"/>
          <w:noProof/>
          <w:lang w:val="en-US"/>
        </w:rPr>
      </w:pPr>
      <w:r w:rsidRPr="00EA78F1">
        <w:rPr>
          <w:rFonts w:ascii="Calibri" w:hAnsi="Calibri" w:cs="Calibri"/>
          <w:noProof/>
          <w:lang w:val="en-US"/>
        </w:rPr>
        <w:t xml:space="preserve">Nakhaie, M. R. (2018). Service needs of immigrants and refugees. </w:t>
      </w:r>
      <w:r w:rsidRPr="00EA78F1">
        <w:rPr>
          <w:rFonts w:ascii="Calibri" w:hAnsi="Calibri" w:cs="Calibri"/>
          <w:i/>
          <w:iCs/>
          <w:noProof/>
          <w:lang w:val="en-US"/>
        </w:rPr>
        <w:t>Journal of International Migration and Integration</w:t>
      </w:r>
      <w:r w:rsidRPr="00EA78F1">
        <w:rPr>
          <w:rFonts w:ascii="Calibri" w:hAnsi="Calibri" w:cs="Calibri"/>
          <w:noProof/>
          <w:lang w:val="en-US"/>
        </w:rPr>
        <w:t xml:space="preserve">, </w:t>
      </w:r>
      <w:r w:rsidRPr="00EA78F1">
        <w:rPr>
          <w:rFonts w:ascii="Calibri" w:hAnsi="Calibri" w:cs="Calibri"/>
          <w:i/>
          <w:iCs/>
          <w:noProof/>
          <w:lang w:val="en-US"/>
        </w:rPr>
        <w:t>19</w:t>
      </w:r>
      <w:r w:rsidRPr="00EA78F1">
        <w:rPr>
          <w:rFonts w:ascii="Calibri" w:hAnsi="Calibri" w:cs="Calibri"/>
          <w:noProof/>
          <w:lang w:val="en-US"/>
        </w:rPr>
        <w:t xml:space="preserve">(1), 143–160. </w:t>
      </w:r>
    </w:p>
    <w:p w14:paraId="77DC8500" w14:textId="73B6AEDC" w:rsidR="00EA78F1" w:rsidRPr="00EA78F1" w:rsidRDefault="00EA78F1" w:rsidP="00EA78F1">
      <w:pPr>
        <w:widowControl w:val="0"/>
        <w:autoSpaceDE w:val="0"/>
        <w:autoSpaceDN w:val="0"/>
        <w:adjustRightInd w:val="0"/>
        <w:spacing w:line="480" w:lineRule="auto"/>
        <w:ind w:left="480" w:hanging="480"/>
        <w:rPr>
          <w:rFonts w:ascii="Calibri" w:hAnsi="Calibri" w:cs="Calibri"/>
          <w:noProof/>
          <w:lang w:val="en-US"/>
        </w:rPr>
      </w:pPr>
      <w:r w:rsidRPr="00EA78F1">
        <w:rPr>
          <w:rFonts w:ascii="Calibri" w:hAnsi="Calibri" w:cs="Calibri"/>
          <w:noProof/>
          <w:lang w:val="en-US"/>
        </w:rPr>
        <w:t xml:space="preserve">Ng, C. K., Haines-Saah, R. J., Knight, R. E., Shoveller, J. A., &amp; Johnson, J. L. (2019). “It’s not my business”: Exploring heteronormativity in young people’s discourses about lesbian, gay, bisexual, transgender, and queer issues and their implications for youth health and wellbeing. </w:t>
      </w:r>
      <w:r w:rsidRPr="00EA78F1">
        <w:rPr>
          <w:rFonts w:ascii="Calibri" w:hAnsi="Calibri" w:cs="Calibri"/>
          <w:i/>
          <w:iCs/>
          <w:noProof/>
          <w:lang w:val="en-US"/>
        </w:rPr>
        <w:t>Health</w:t>
      </w:r>
      <w:r w:rsidRPr="00EA78F1">
        <w:rPr>
          <w:rFonts w:ascii="Calibri" w:hAnsi="Calibri" w:cs="Calibri"/>
          <w:noProof/>
          <w:lang w:val="en-US"/>
        </w:rPr>
        <w:t xml:space="preserve">, </w:t>
      </w:r>
      <w:r w:rsidRPr="00EA78F1">
        <w:rPr>
          <w:rFonts w:ascii="Calibri" w:hAnsi="Calibri" w:cs="Calibri"/>
          <w:i/>
          <w:iCs/>
          <w:noProof/>
          <w:lang w:val="en-US"/>
        </w:rPr>
        <w:t>23</w:t>
      </w:r>
      <w:r w:rsidRPr="00EA78F1">
        <w:rPr>
          <w:rFonts w:ascii="Calibri" w:hAnsi="Calibri" w:cs="Calibri"/>
          <w:noProof/>
          <w:lang w:val="en-US"/>
        </w:rPr>
        <w:t xml:space="preserve">(1), 39–57. </w:t>
      </w:r>
    </w:p>
    <w:p w14:paraId="61E752D9" w14:textId="5797C03C" w:rsidR="00EA78F1" w:rsidRPr="00EA78F1" w:rsidRDefault="00EA78F1" w:rsidP="00EA78F1">
      <w:pPr>
        <w:widowControl w:val="0"/>
        <w:autoSpaceDE w:val="0"/>
        <w:autoSpaceDN w:val="0"/>
        <w:adjustRightInd w:val="0"/>
        <w:spacing w:line="480" w:lineRule="auto"/>
        <w:ind w:left="480" w:hanging="480"/>
        <w:rPr>
          <w:rFonts w:ascii="Calibri" w:hAnsi="Calibri" w:cs="Calibri"/>
          <w:noProof/>
          <w:lang w:val="en-US"/>
        </w:rPr>
      </w:pPr>
      <w:r w:rsidRPr="00EA78F1">
        <w:rPr>
          <w:rFonts w:ascii="Calibri" w:hAnsi="Calibri" w:cs="Calibri"/>
          <w:noProof/>
          <w:lang w:val="en-US"/>
        </w:rPr>
        <w:t xml:space="preserve">Rands, K. E. (2009). Considering transgender people in education. </w:t>
      </w:r>
      <w:r w:rsidRPr="00EA78F1">
        <w:rPr>
          <w:rFonts w:ascii="Calibri" w:hAnsi="Calibri" w:cs="Calibri"/>
          <w:i/>
          <w:iCs/>
          <w:noProof/>
          <w:lang w:val="en-US"/>
        </w:rPr>
        <w:t>Journal of Teacher Education</w:t>
      </w:r>
      <w:r w:rsidRPr="00EA78F1">
        <w:rPr>
          <w:rFonts w:ascii="Calibri" w:hAnsi="Calibri" w:cs="Calibri"/>
          <w:noProof/>
          <w:lang w:val="en-US"/>
        </w:rPr>
        <w:t xml:space="preserve">, </w:t>
      </w:r>
      <w:r w:rsidRPr="00EA78F1">
        <w:rPr>
          <w:rFonts w:ascii="Calibri" w:hAnsi="Calibri" w:cs="Calibri"/>
          <w:i/>
          <w:iCs/>
          <w:noProof/>
          <w:lang w:val="en-US"/>
        </w:rPr>
        <w:t>60</w:t>
      </w:r>
      <w:r w:rsidRPr="00EA78F1">
        <w:rPr>
          <w:rFonts w:ascii="Calibri" w:hAnsi="Calibri" w:cs="Calibri"/>
          <w:noProof/>
          <w:lang w:val="en-US"/>
        </w:rPr>
        <w:t xml:space="preserve">(4), 419–431. </w:t>
      </w:r>
    </w:p>
    <w:p w14:paraId="026246CC" w14:textId="253E06CE" w:rsidR="00EA78F1" w:rsidRPr="00EA78F1" w:rsidRDefault="00EA78F1" w:rsidP="00EA78F1">
      <w:pPr>
        <w:widowControl w:val="0"/>
        <w:autoSpaceDE w:val="0"/>
        <w:autoSpaceDN w:val="0"/>
        <w:adjustRightInd w:val="0"/>
        <w:spacing w:line="480" w:lineRule="auto"/>
        <w:ind w:left="480" w:hanging="480"/>
        <w:rPr>
          <w:rFonts w:ascii="Calibri" w:hAnsi="Calibri" w:cs="Calibri"/>
          <w:noProof/>
          <w:lang w:val="en-US"/>
        </w:rPr>
      </w:pPr>
      <w:r w:rsidRPr="00EA78F1">
        <w:rPr>
          <w:rFonts w:ascii="Calibri" w:hAnsi="Calibri" w:cs="Calibri"/>
          <w:noProof/>
          <w:lang w:val="en-US"/>
        </w:rPr>
        <w:t xml:space="preserve">Schmidtke, O. (2018). The civil society dynamic of including and empowering refugees in Canada’s urban centres. </w:t>
      </w:r>
      <w:r w:rsidRPr="00EA78F1">
        <w:rPr>
          <w:rFonts w:ascii="Calibri" w:hAnsi="Calibri" w:cs="Calibri"/>
          <w:i/>
          <w:iCs/>
          <w:noProof/>
          <w:lang w:val="en-US"/>
        </w:rPr>
        <w:t>Social Inclusion</w:t>
      </w:r>
      <w:r w:rsidRPr="00EA78F1">
        <w:rPr>
          <w:rFonts w:ascii="Calibri" w:hAnsi="Calibri" w:cs="Calibri"/>
          <w:noProof/>
          <w:lang w:val="en-US"/>
        </w:rPr>
        <w:t xml:space="preserve">, </w:t>
      </w:r>
      <w:r w:rsidRPr="00EA78F1">
        <w:rPr>
          <w:rFonts w:ascii="Calibri" w:hAnsi="Calibri" w:cs="Calibri"/>
          <w:i/>
          <w:iCs/>
          <w:noProof/>
          <w:lang w:val="en-US"/>
        </w:rPr>
        <w:t>6</w:t>
      </w:r>
      <w:r w:rsidRPr="00EA78F1">
        <w:rPr>
          <w:rFonts w:ascii="Calibri" w:hAnsi="Calibri" w:cs="Calibri"/>
          <w:noProof/>
          <w:lang w:val="en-US"/>
        </w:rPr>
        <w:t xml:space="preserve">(1), 147. </w:t>
      </w:r>
    </w:p>
    <w:p w14:paraId="0F42AC2C" w14:textId="5EE561C6" w:rsidR="00EA78F1" w:rsidRDefault="00EA78F1" w:rsidP="00EA78F1">
      <w:pPr>
        <w:widowControl w:val="0"/>
        <w:autoSpaceDE w:val="0"/>
        <w:autoSpaceDN w:val="0"/>
        <w:adjustRightInd w:val="0"/>
        <w:spacing w:line="480" w:lineRule="auto"/>
        <w:ind w:left="480" w:hanging="480"/>
        <w:rPr>
          <w:rFonts w:ascii="Calibri" w:hAnsi="Calibri" w:cs="Calibri"/>
          <w:noProof/>
          <w:lang w:val="en-US"/>
        </w:rPr>
      </w:pPr>
      <w:r w:rsidRPr="00EA78F1">
        <w:rPr>
          <w:rFonts w:ascii="Calibri" w:hAnsi="Calibri" w:cs="Calibri"/>
          <w:noProof/>
          <w:lang w:val="en-US"/>
        </w:rPr>
        <w:t xml:space="preserve">Tollefson, K., &amp; Magdaleno, K. R. (2016). Educational leaders and the acknowledgment gap. </w:t>
      </w:r>
      <w:r w:rsidRPr="00EA78F1">
        <w:rPr>
          <w:rFonts w:ascii="Calibri" w:hAnsi="Calibri" w:cs="Calibri"/>
          <w:i/>
          <w:iCs/>
          <w:noProof/>
          <w:lang w:val="en-US"/>
        </w:rPr>
        <w:t>Journal of School Leadership</w:t>
      </w:r>
      <w:r w:rsidRPr="00EA78F1">
        <w:rPr>
          <w:rFonts w:ascii="Calibri" w:hAnsi="Calibri" w:cs="Calibri"/>
          <w:noProof/>
          <w:lang w:val="en-US"/>
        </w:rPr>
        <w:t xml:space="preserve">, </w:t>
      </w:r>
      <w:r w:rsidRPr="00EA78F1">
        <w:rPr>
          <w:rFonts w:ascii="Calibri" w:hAnsi="Calibri" w:cs="Calibri"/>
          <w:i/>
          <w:iCs/>
          <w:noProof/>
          <w:lang w:val="en-US"/>
        </w:rPr>
        <w:t>26</w:t>
      </w:r>
      <w:r w:rsidRPr="00EA78F1">
        <w:rPr>
          <w:rFonts w:ascii="Calibri" w:hAnsi="Calibri" w:cs="Calibri"/>
          <w:noProof/>
          <w:lang w:val="en-US"/>
        </w:rPr>
        <w:t xml:space="preserve">(2), 223–248. </w:t>
      </w:r>
    </w:p>
    <w:p w14:paraId="20E4C0F9" w14:textId="13F88ECA" w:rsidR="00161263" w:rsidRPr="00EA78F1" w:rsidRDefault="00161263" w:rsidP="00EA78F1">
      <w:pPr>
        <w:widowControl w:val="0"/>
        <w:autoSpaceDE w:val="0"/>
        <w:autoSpaceDN w:val="0"/>
        <w:adjustRightInd w:val="0"/>
        <w:spacing w:line="480" w:lineRule="auto"/>
        <w:ind w:left="480" w:hanging="480"/>
        <w:rPr>
          <w:rFonts w:ascii="Calibri" w:hAnsi="Calibri" w:cs="Calibri"/>
          <w:noProof/>
          <w:lang w:val="en-US"/>
        </w:rPr>
      </w:pPr>
      <w:r>
        <w:rPr>
          <w:rFonts w:ascii="Calibri" w:hAnsi="Calibri" w:cs="Calibri"/>
          <w:noProof/>
          <w:lang w:val="en-US"/>
        </w:rPr>
        <w:t xml:space="preserve">The Human </w:t>
      </w:r>
      <w:r w:rsidR="001F493F">
        <w:rPr>
          <w:rFonts w:ascii="Calibri" w:hAnsi="Calibri" w:cs="Calibri"/>
          <w:noProof/>
          <w:lang w:val="en-US"/>
        </w:rPr>
        <w:t>Rights Campaign. (2019). Retrieved from www.hrc.org</w:t>
      </w:r>
    </w:p>
    <w:p w14:paraId="0BD3BFF9" w14:textId="77777777" w:rsidR="00EA78F1" w:rsidRPr="00EA78F1" w:rsidRDefault="00EA78F1" w:rsidP="00EA78F1">
      <w:pPr>
        <w:widowControl w:val="0"/>
        <w:autoSpaceDE w:val="0"/>
        <w:autoSpaceDN w:val="0"/>
        <w:adjustRightInd w:val="0"/>
        <w:spacing w:line="480" w:lineRule="auto"/>
        <w:ind w:left="480" w:hanging="480"/>
        <w:rPr>
          <w:rFonts w:ascii="Calibri" w:hAnsi="Calibri" w:cs="Calibri"/>
          <w:noProof/>
          <w:lang w:val="en-US"/>
        </w:rPr>
      </w:pPr>
      <w:r w:rsidRPr="00EA78F1">
        <w:rPr>
          <w:rFonts w:ascii="Calibri" w:hAnsi="Calibri" w:cs="Calibri"/>
          <w:noProof/>
          <w:lang w:val="en-US"/>
        </w:rPr>
        <w:t xml:space="preserve">UNHCR. (2010). </w:t>
      </w:r>
      <w:r w:rsidRPr="00EA78F1">
        <w:rPr>
          <w:rFonts w:ascii="Calibri" w:hAnsi="Calibri" w:cs="Calibri"/>
          <w:i/>
          <w:iCs/>
          <w:noProof/>
          <w:lang w:val="en-US"/>
        </w:rPr>
        <w:t>Convention and protocol relating to the status of refugees</w:t>
      </w:r>
      <w:r w:rsidRPr="00EA78F1">
        <w:rPr>
          <w:rFonts w:ascii="Calibri" w:hAnsi="Calibri" w:cs="Calibri"/>
          <w:noProof/>
          <w:lang w:val="en-US"/>
        </w:rPr>
        <w:t xml:space="preserve">. </w:t>
      </w:r>
      <w:r w:rsidRPr="00EA78F1">
        <w:rPr>
          <w:rFonts w:ascii="Calibri" w:hAnsi="Calibri" w:cs="Calibri"/>
          <w:i/>
          <w:iCs/>
          <w:noProof/>
          <w:lang w:val="en-US"/>
        </w:rPr>
        <w:t>Convetion and protocol relating to the status of refugees</w:t>
      </w:r>
      <w:r w:rsidRPr="00EA78F1">
        <w:rPr>
          <w:rFonts w:ascii="Calibri" w:hAnsi="Calibri" w:cs="Calibri"/>
          <w:noProof/>
          <w:lang w:val="en-US"/>
        </w:rPr>
        <w:t>.</w:t>
      </w:r>
    </w:p>
    <w:p w14:paraId="55786F79" w14:textId="6B0C4536" w:rsidR="00EA78F1" w:rsidRPr="00EA78F1" w:rsidRDefault="00EA78F1" w:rsidP="00EA78F1">
      <w:pPr>
        <w:widowControl w:val="0"/>
        <w:autoSpaceDE w:val="0"/>
        <w:autoSpaceDN w:val="0"/>
        <w:adjustRightInd w:val="0"/>
        <w:spacing w:line="480" w:lineRule="auto"/>
        <w:ind w:left="480" w:hanging="480"/>
        <w:rPr>
          <w:rFonts w:ascii="Calibri" w:hAnsi="Calibri" w:cs="Calibri"/>
          <w:noProof/>
          <w:lang w:val="en-US"/>
        </w:rPr>
      </w:pPr>
      <w:r w:rsidRPr="00EA78F1">
        <w:rPr>
          <w:rFonts w:ascii="Calibri" w:hAnsi="Calibri" w:cs="Calibri"/>
          <w:noProof/>
          <w:lang w:val="en-US"/>
        </w:rPr>
        <w:t xml:space="preserve">UNHCR. (2017). </w:t>
      </w:r>
      <w:r w:rsidRPr="00EA78F1">
        <w:rPr>
          <w:rFonts w:ascii="Calibri" w:hAnsi="Calibri" w:cs="Calibri"/>
          <w:i/>
          <w:iCs/>
          <w:noProof/>
          <w:lang w:val="en-US"/>
        </w:rPr>
        <w:t>Global trends: Forced displacement in 2017</w:t>
      </w:r>
      <w:r w:rsidRPr="00EA78F1">
        <w:rPr>
          <w:rFonts w:ascii="Calibri" w:hAnsi="Calibri" w:cs="Calibri"/>
          <w:noProof/>
          <w:lang w:val="en-US"/>
        </w:rPr>
        <w:t xml:space="preserve">. Retrieved from </w:t>
      </w:r>
    </w:p>
    <w:p w14:paraId="085961C2" w14:textId="77777777" w:rsidR="00EA78F1" w:rsidRPr="00EA78F1" w:rsidRDefault="00EA78F1" w:rsidP="00EA78F1">
      <w:pPr>
        <w:widowControl w:val="0"/>
        <w:autoSpaceDE w:val="0"/>
        <w:autoSpaceDN w:val="0"/>
        <w:adjustRightInd w:val="0"/>
        <w:spacing w:line="480" w:lineRule="auto"/>
        <w:ind w:left="480" w:hanging="480"/>
        <w:rPr>
          <w:rFonts w:ascii="Calibri" w:hAnsi="Calibri" w:cs="Calibri"/>
          <w:noProof/>
          <w:lang w:val="en-US"/>
        </w:rPr>
      </w:pPr>
      <w:r w:rsidRPr="00EA78F1">
        <w:rPr>
          <w:rFonts w:ascii="Calibri" w:hAnsi="Calibri" w:cs="Calibri"/>
          <w:noProof/>
          <w:lang w:val="en-US"/>
        </w:rPr>
        <w:t xml:space="preserve">UNHCR. (2019). </w:t>
      </w:r>
      <w:r w:rsidRPr="00EA78F1">
        <w:rPr>
          <w:rFonts w:ascii="Calibri" w:hAnsi="Calibri" w:cs="Calibri"/>
          <w:i/>
          <w:iCs/>
          <w:noProof/>
          <w:lang w:val="en-US"/>
        </w:rPr>
        <w:t>UNHCR: Global appeal 2019 update</w:t>
      </w:r>
      <w:r w:rsidRPr="00EA78F1">
        <w:rPr>
          <w:rFonts w:ascii="Calibri" w:hAnsi="Calibri" w:cs="Calibri"/>
          <w:noProof/>
          <w:lang w:val="en-US"/>
        </w:rPr>
        <w:t>.</w:t>
      </w:r>
    </w:p>
    <w:p w14:paraId="6807F90F" w14:textId="24B98746" w:rsidR="00EA78F1" w:rsidRPr="00EA78F1" w:rsidRDefault="00EA78F1" w:rsidP="00EA78F1">
      <w:pPr>
        <w:widowControl w:val="0"/>
        <w:autoSpaceDE w:val="0"/>
        <w:autoSpaceDN w:val="0"/>
        <w:adjustRightInd w:val="0"/>
        <w:spacing w:line="480" w:lineRule="auto"/>
        <w:ind w:left="480" w:hanging="480"/>
        <w:rPr>
          <w:rFonts w:ascii="Calibri" w:hAnsi="Calibri" w:cs="Calibri"/>
          <w:noProof/>
          <w:lang w:val="en-US"/>
        </w:rPr>
      </w:pPr>
      <w:r w:rsidRPr="00EA78F1">
        <w:rPr>
          <w:rFonts w:ascii="Calibri" w:hAnsi="Calibri" w:cs="Calibri"/>
          <w:noProof/>
          <w:lang w:val="en-US"/>
        </w:rPr>
        <w:t xml:space="preserve">Woolley, S. (2005). Children of Jehovah’s Witnesses and adolescent Jehovah’s Witnesses: What are their rights? </w:t>
      </w:r>
      <w:r w:rsidRPr="00EA78F1">
        <w:rPr>
          <w:rFonts w:ascii="Calibri" w:hAnsi="Calibri" w:cs="Calibri"/>
          <w:i/>
          <w:iCs/>
          <w:noProof/>
          <w:lang w:val="en-US"/>
        </w:rPr>
        <w:t>Archives of Disease in Childhood</w:t>
      </w:r>
      <w:r w:rsidRPr="00EA78F1">
        <w:rPr>
          <w:rFonts w:ascii="Calibri" w:hAnsi="Calibri" w:cs="Calibri"/>
          <w:noProof/>
          <w:lang w:val="en-US"/>
        </w:rPr>
        <w:t xml:space="preserve">, </w:t>
      </w:r>
      <w:r w:rsidRPr="00EA78F1">
        <w:rPr>
          <w:rFonts w:ascii="Calibri" w:hAnsi="Calibri" w:cs="Calibri"/>
          <w:i/>
          <w:iCs/>
          <w:noProof/>
          <w:lang w:val="en-US"/>
        </w:rPr>
        <w:t>90</w:t>
      </w:r>
      <w:r w:rsidRPr="00EA78F1">
        <w:rPr>
          <w:rFonts w:ascii="Calibri" w:hAnsi="Calibri" w:cs="Calibri"/>
          <w:noProof/>
          <w:lang w:val="en-US"/>
        </w:rPr>
        <w:t xml:space="preserve">(7), 715–719. </w:t>
      </w:r>
    </w:p>
    <w:p w14:paraId="14EAAD63" w14:textId="7C873BC1" w:rsidR="00EA78F1" w:rsidRPr="00EA78F1" w:rsidRDefault="00EA78F1" w:rsidP="00EA78F1">
      <w:pPr>
        <w:widowControl w:val="0"/>
        <w:autoSpaceDE w:val="0"/>
        <w:autoSpaceDN w:val="0"/>
        <w:adjustRightInd w:val="0"/>
        <w:spacing w:line="480" w:lineRule="auto"/>
        <w:ind w:left="480" w:hanging="480"/>
        <w:rPr>
          <w:rFonts w:ascii="Calibri" w:hAnsi="Calibri" w:cs="Calibri"/>
          <w:noProof/>
        </w:rPr>
      </w:pPr>
      <w:r w:rsidRPr="00EA78F1">
        <w:rPr>
          <w:rFonts w:ascii="Calibri" w:hAnsi="Calibri" w:cs="Calibri"/>
          <w:noProof/>
          <w:lang w:val="en-US"/>
        </w:rPr>
        <w:t xml:space="preserve">Yu, S., Ouellet, E., &amp; Warmington, A. (2007). Refugee integration in Canada: A survey of empirical evidence and existing services. </w:t>
      </w:r>
      <w:r w:rsidRPr="00EA78F1">
        <w:rPr>
          <w:rFonts w:ascii="Calibri" w:hAnsi="Calibri" w:cs="Calibri"/>
          <w:i/>
          <w:iCs/>
          <w:noProof/>
          <w:lang w:val="en-US"/>
        </w:rPr>
        <w:t>Refuge</w:t>
      </w:r>
      <w:r w:rsidRPr="00EA78F1">
        <w:rPr>
          <w:rFonts w:ascii="Calibri" w:hAnsi="Calibri" w:cs="Calibri"/>
          <w:noProof/>
          <w:lang w:val="en-US"/>
        </w:rPr>
        <w:t xml:space="preserve">, </w:t>
      </w:r>
      <w:r w:rsidRPr="00EA78F1">
        <w:rPr>
          <w:rFonts w:ascii="Calibri" w:hAnsi="Calibri" w:cs="Calibri"/>
          <w:i/>
          <w:iCs/>
          <w:noProof/>
          <w:lang w:val="en-US"/>
        </w:rPr>
        <w:t>24</w:t>
      </w:r>
      <w:r w:rsidRPr="00EA78F1">
        <w:rPr>
          <w:rFonts w:ascii="Calibri" w:hAnsi="Calibri" w:cs="Calibri"/>
          <w:noProof/>
          <w:lang w:val="en-US"/>
        </w:rPr>
        <w:t>(2), 17–34.</w:t>
      </w:r>
    </w:p>
    <w:p w14:paraId="787ABA11" w14:textId="4D34251A" w:rsidR="001B51C8" w:rsidRDefault="00180FE4" w:rsidP="00EA78F1">
      <w:pPr>
        <w:widowControl w:val="0"/>
        <w:autoSpaceDE w:val="0"/>
        <w:autoSpaceDN w:val="0"/>
        <w:adjustRightInd w:val="0"/>
        <w:spacing w:line="480" w:lineRule="auto"/>
        <w:ind w:left="480" w:hanging="480"/>
      </w:pPr>
      <w:r>
        <w:fldChar w:fldCharType="end"/>
      </w:r>
      <w:r>
        <w:t>Watch Tower Bible and Tract Society of Pennsylvania</w:t>
      </w:r>
      <w:r w:rsidR="00A00A2F">
        <w:t>.</w:t>
      </w:r>
      <w:r>
        <w:t xml:space="preserve"> (2019). Jehovah’s Witnesses. Retrieved </w:t>
      </w:r>
    </w:p>
    <w:p w14:paraId="2C61DC07" w14:textId="418A8844" w:rsidR="009B0F47" w:rsidRPr="009B0F47" w:rsidRDefault="00D66235" w:rsidP="009B0F47">
      <w:pPr>
        <w:ind w:firstLine="720"/>
      </w:pPr>
      <w:r>
        <w:t>f</w:t>
      </w:r>
      <w:r w:rsidR="00180FE4">
        <w:t xml:space="preserve">rom www.jw.org/en </w:t>
      </w:r>
    </w:p>
    <w:sectPr w:rsidR="009B0F47" w:rsidRPr="009B0F47" w:rsidSect="00AB7760">
      <w:headerReference w:type="even" r:id="rId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9E49F" w14:textId="77777777" w:rsidR="002B78A3" w:rsidRDefault="002B78A3" w:rsidP="00EA40E1">
      <w:r>
        <w:separator/>
      </w:r>
    </w:p>
  </w:endnote>
  <w:endnote w:type="continuationSeparator" w:id="0">
    <w:p w14:paraId="54E69B4D" w14:textId="77777777" w:rsidR="002B78A3" w:rsidRDefault="002B78A3" w:rsidP="00EA4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Calibri"/>
    <w:panose1 w:val="02000503020000020003"/>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D0937" w14:textId="77777777" w:rsidR="002B78A3" w:rsidRDefault="002B78A3" w:rsidP="00EA40E1">
      <w:r>
        <w:separator/>
      </w:r>
    </w:p>
  </w:footnote>
  <w:footnote w:type="continuationSeparator" w:id="0">
    <w:p w14:paraId="503F3045" w14:textId="77777777" w:rsidR="002B78A3" w:rsidRDefault="002B78A3" w:rsidP="00EA40E1">
      <w:r>
        <w:continuationSeparator/>
      </w:r>
    </w:p>
  </w:footnote>
  <w:footnote w:id="1">
    <w:p w14:paraId="65C065D2" w14:textId="243741A3" w:rsidR="00F21FD5" w:rsidRDefault="00F21FD5" w:rsidP="00F21FD5">
      <w:pPr>
        <w:pStyle w:val="FootnoteText"/>
      </w:pPr>
      <w:r w:rsidRPr="00A61257">
        <w:rPr>
          <w:rStyle w:val="FootnoteReference"/>
        </w:rPr>
        <w:t>1</w:t>
      </w:r>
      <w:r>
        <w:t xml:space="preserve"> Name has been changed to a pseudonym of her choice to protect her privacy and that of her father and her family. I feel privileged to be allowed to share her story in this assignment.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7007458"/>
      <w:docPartObj>
        <w:docPartGallery w:val="Page Numbers (Top of Page)"/>
        <w:docPartUnique/>
      </w:docPartObj>
    </w:sdtPr>
    <w:sdtEndPr>
      <w:rPr>
        <w:rStyle w:val="PageNumber"/>
      </w:rPr>
    </w:sdtEndPr>
    <w:sdtContent>
      <w:p w14:paraId="0DF7AE3D" w14:textId="5619CA4E" w:rsidR="009577A3" w:rsidRDefault="009577A3" w:rsidP="0023055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33B487" w14:textId="77777777" w:rsidR="00414C99" w:rsidRDefault="00414C99" w:rsidP="009577A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1781059"/>
      <w:docPartObj>
        <w:docPartGallery w:val="Page Numbers (Top of Page)"/>
        <w:docPartUnique/>
      </w:docPartObj>
    </w:sdtPr>
    <w:sdtEndPr>
      <w:rPr>
        <w:rStyle w:val="PageNumber"/>
      </w:rPr>
    </w:sdtEndPr>
    <w:sdtContent>
      <w:p w14:paraId="511EC568" w14:textId="1EBF05DC" w:rsidR="009577A3" w:rsidRDefault="009577A3" w:rsidP="0023055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A82153" w14:textId="76C35AF9" w:rsidR="00414C99" w:rsidRDefault="00414C99" w:rsidP="009577A3">
    <w:pPr>
      <w:pStyle w:val="Header"/>
      <w:ind w:right="360"/>
      <w:jc w:val="center"/>
    </w:pPr>
    <w:r>
      <w:t>Cultural Research Assignment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59A"/>
    <w:rsid w:val="00002768"/>
    <w:rsid w:val="00004730"/>
    <w:rsid w:val="00034DE6"/>
    <w:rsid w:val="000358F3"/>
    <w:rsid w:val="00047491"/>
    <w:rsid w:val="00051CD3"/>
    <w:rsid w:val="00067B23"/>
    <w:rsid w:val="000732E7"/>
    <w:rsid w:val="00073E10"/>
    <w:rsid w:val="0007734A"/>
    <w:rsid w:val="000826DD"/>
    <w:rsid w:val="00084C33"/>
    <w:rsid w:val="00087565"/>
    <w:rsid w:val="00093FB5"/>
    <w:rsid w:val="000952D2"/>
    <w:rsid w:val="00096EF4"/>
    <w:rsid w:val="000A60B1"/>
    <w:rsid w:val="000C10B6"/>
    <w:rsid w:val="000C16ED"/>
    <w:rsid w:val="000C40A1"/>
    <w:rsid w:val="000C7A11"/>
    <w:rsid w:val="000D374B"/>
    <w:rsid w:val="000D4BAB"/>
    <w:rsid w:val="000E16F9"/>
    <w:rsid w:val="000E476C"/>
    <w:rsid w:val="000E6E8B"/>
    <w:rsid w:val="000F4C86"/>
    <w:rsid w:val="00100E9A"/>
    <w:rsid w:val="001118C2"/>
    <w:rsid w:val="0011221F"/>
    <w:rsid w:val="001167C7"/>
    <w:rsid w:val="00124948"/>
    <w:rsid w:val="00126341"/>
    <w:rsid w:val="0013502D"/>
    <w:rsid w:val="001357DC"/>
    <w:rsid w:val="00141B58"/>
    <w:rsid w:val="0014386E"/>
    <w:rsid w:val="00161263"/>
    <w:rsid w:val="00161C22"/>
    <w:rsid w:val="001628B4"/>
    <w:rsid w:val="001641FB"/>
    <w:rsid w:val="00170B66"/>
    <w:rsid w:val="00180FE4"/>
    <w:rsid w:val="00191923"/>
    <w:rsid w:val="001A14AD"/>
    <w:rsid w:val="001A1842"/>
    <w:rsid w:val="001A2351"/>
    <w:rsid w:val="001A3963"/>
    <w:rsid w:val="001B51C8"/>
    <w:rsid w:val="001B7546"/>
    <w:rsid w:val="001C2A85"/>
    <w:rsid w:val="001D1AAA"/>
    <w:rsid w:val="001D799E"/>
    <w:rsid w:val="001E36CA"/>
    <w:rsid w:val="001F1599"/>
    <w:rsid w:val="001F2A76"/>
    <w:rsid w:val="001F493F"/>
    <w:rsid w:val="001F4A31"/>
    <w:rsid w:val="001F5460"/>
    <w:rsid w:val="001F7B22"/>
    <w:rsid w:val="00201686"/>
    <w:rsid w:val="00201C57"/>
    <w:rsid w:val="002021E0"/>
    <w:rsid w:val="00211074"/>
    <w:rsid w:val="0022529B"/>
    <w:rsid w:val="0022606F"/>
    <w:rsid w:val="002339D2"/>
    <w:rsid w:val="00236268"/>
    <w:rsid w:val="00260946"/>
    <w:rsid w:val="0027145B"/>
    <w:rsid w:val="002874AD"/>
    <w:rsid w:val="00290288"/>
    <w:rsid w:val="002970A2"/>
    <w:rsid w:val="002977D9"/>
    <w:rsid w:val="002B6BE7"/>
    <w:rsid w:val="002B78A3"/>
    <w:rsid w:val="002C1F6F"/>
    <w:rsid w:val="002C620C"/>
    <w:rsid w:val="002D01F8"/>
    <w:rsid w:val="002D754F"/>
    <w:rsid w:val="002E0E13"/>
    <w:rsid w:val="002F2D51"/>
    <w:rsid w:val="002F7420"/>
    <w:rsid w:val="003006FB"/>
    <w:rsid w:val="00304A69"/>
    <w:rsid w:val="00306C24"/>
    <w:rsid w:val="00306F35"/>
    <w:rsid w:val="003358C3"/>
    <w:rsid w:val="003460F9"/>
    <w:rsid w:val="00346D40"/>
    <w:rsid w:val="0034759A"/>
    <w:rsid w:val="003747C1"/>
    <w:rsid w:val="00374E71"/>
    <w:rsid w:val="00377BD7"/>
    <w:rsid w:val="0038013A"/>
    <w:rsid w:val="0038299A"/>
    <w:rsid w:val="00382D61"/>
    <w:rsid w:val="00383090"/>
    <w:rsid w:val="00385023"/>
    <w:rsid w:val="0039396A"/>
    <w:rsid w:val="003B7A49"/>
    <w:rsid w:val="003C1231"/>
    <w:rsid w:val="003C1CF0"/>
    <w:rsid w:val="003C41EC"/>
    <w:rsid w:val="003C707A"/>
    <w:rsid w:val="003D1012"/>
    <w:rsid w:val="003D3B7F"/>
    <w:rsid w:val="003E2C3B"/>
    <w:rsid w:val="004026A5"/>
    <w:rsid w:val="0041157E"/>
    <w:rsid w:val="00414C99"/>
    <w:rsid w:val="00416646"/>
    <w:rsid w:val="00417FB3"/>
    <w:rsid w:val="004227A2"/>
    <w:rsid w:val="0042326D"/>
    <w:rsid w:val="00423474"/>
    <w:rsid w:val="00424A04"/>
    <w:rsid w:val="0044096A"/>
    <w:rsid w:val="00451E5F"/>
    <w:rsid w:val="00452D72"/>
    <w:rsid w:val="004546FD"/>
    <w:rsid w:val="00462A58"/>
    <w:rsid w:val="00465982"/>
    <w:rsid w:val="00467938"/>
    <w:rsid w:val="00475BFB"/>
    <w:rsid w:val="004770FE"/>
    <w:rsid w:val="00486A67"/>
    <w:rsid w:val="00494AD5"/>
    <w:rsid w:val="00495834"/>
    <w:rsid w:val="004A2EB5"/>
    <w:rsid w:val="004A2EF4"/>
    <w:rsid w:val="004A3311"/>
    <w:rsid w:val="004A454C"/>
    <w:rsid w:val="004A4911"/>
    <w:rsid w:val="004A595C"/>
    <w:rsid w:val="004C0805"/>
    <w:rsid w:val="004C0EBA"/>
    <w:rsid w:val="004D2FC9"/>
    <w:rsid w:val="004D4634"/>
    <w:rsid w:val="004D48A2"/>
    <w:rsid w:val="004D5731"/>
    <w:rsid w:val="004E227E"/>
    <w:rsid w:val="004E2735"/>
    <w:rsid w:val="004F56C1"/>
    <w:rsid w:val="004F575B"/>
    <w:rsid w:val="005015C4"/>
    <w:rsid w:val="00501F75"/>
    <w:rsid w:val="0050343A"/>
    <w:rsid w:val="00505D67"/>
    <w:rsid w:val="00506755"/>
    <w:rsid w:val="0051077D"/>
    <w:rsid w:val="00512E76"/>
    <w:rsid w:val="00520351"/>
    <w:rsid w:val="0052387D"/>
    <w:rsid w:val="00531EF4"/>
    <w:rsid w:val="00551FEC"/>
    <w:rsid w:val="00554439"/>
    <w:rsid w:val="00556A4C"/>
    <w:rsid w:val="00574427"/>
    <w:rsid w:val="00580415"/>
    <w:rsid w:val="00583F00"/>
    <w:rsid w:val="00584260"/>
    <w:rsid w:val="00584C14"/>
    <w:rsid w:val="00585F80"/>
    <w:rsid w:val="00591CB6"/>
    <w:rsid w:val="00593AC1"/>
    <w:rsid w:val="005A6FB4"/>
    <w:rsid w:val="005C2979"/>
    <w:rsid w:val="005C3182"/>
    <w:rsid w:val="005C7582"/>
    <w:rsid w:val="005D133C"/>
    <w:rsid w:val="005D208A"/>
    <w:rsid w:val="005D2620"/>
    <w:rsid w:val="005D32FB"/>
    <w:rsid w:val="005D35B1"/>
    <w:rsid w:val="005E00E9"/>
    <w:rsid w:val="005E0355"/>
    <w:rsid w:val="005F0112"/>
    <w:rsid w:val="005F1A66"/>
    <w:rsid w:val="005F673D"/>
    <w:rsid w:val="00600827"/>
    <w:rsid w:val="006075D1"/>
    <w:rsid w:val="00611CE9"/>
    <w:rsid w:val="00612B7E"/>
    <w:rsid w:val="006222B4"/>
    <w:rsid w:val="0062462E"/>
    <w:rsid w:val="00625D3D"/>
    <w:rsid w:val="0062690D"/>
    <w:rsid w:val="00630AA7"/>
    <w:rsid w:val="006409CD"/>
    <w:rsid w:val="00651B88"/>
    <w:rsid w:val="006568F9"/>
    <w:rsid w:val="0066181D"/>
    <w:rsid w:val="0066368F"/>
    <w:rsid w:val="006721D5"/>
    <w:rsid w:val="00676187"/>
    <w:rsid w:val="006961C3"/>
    <w:rsid w:val="006A71F8"/>
    <w:rsid w:val="006B7D9A"/>
    <w:rsid w:val="006C3EDD"/>
    <w:rsid w:val="006E1B31"/>
    <w:rsid w:val="006E28B5"/>
    <w:rsid w:val="006F0B37"/>
    <w:rsid w:val="006F3D47"/>
    <w:rsid w:val="006F7A8A"/>
    <w:rsid w:val="00712843"/>
    <w:rsid w:val="00722F8D"/>
    <w:rsid w:val="00723C58"/>
    <w:rsid w:val="007247E8"/>
    <w:rsid w:val="007318A6"/>
    <w:rsid w:val="00737CBE"/>
    <w:rsid w:val="00740655"/>
    <w:rsid w:val="00747EB9"/>
    <w:rsid w:val="00770502"/>
    <w:rsid w:val="007745C6"/>
    <w:rsid w:val="0077675B"/>
    <w:rsid w:val="0078171E"/>
    <w:rsid w:val="007A2C28"/>
    <w:rsid w:val="007A63E7"/>
    <w:rsid w:val="007B592F"/>
    <w:rsid w:val="007C4F8A"/>
    <w:rsid w:val="007C5F5C"/>
    <w:rsid w:val="007D18A2"/>
    <w:rsid w:val="007D586B"/>
    <w:rsid w:val="007D68B2"/>
    <w:rsid w:val="007E23C7"/>
    <w:rsid w:val="007E31DA"/>
    <w:rsid w:val="007E78CB"/>
    <w:rsid w:val="007F2946"/>
    <w:rsid w:val="007F7138"/>
    <w:rsid w:val="00805AB2"/>
    <w:rsid w:val="008077F9"/>
    <w:rsid w:val="008106F2"/>
    <w:rsid w:val="00820062"/>
    <w:rsid w:val="00820DF7"/>
    <w:rsid w:val="00822EC4"/>
    <w:rsid w:val="008379CB"/>
    <w:rsid w:val="008553B1"/>
    <w:rsid w:val="0085667A"/>
    <w:rsid w:val="00857D1C"/>
    <w:rsid w:val="0087012E"/>
    <w:rsid w:val="008714DB"/>
    <w:rsid w:val="008724E5"/>
    <w:rsid w:val="008801FD"/>
    <w:rsid w:val="00884444"/>
    <w:rsid w:val="00890EE5"/>
    <w:rsid w:val="00894182"/>
    <w:rsid w:val="0089571C"/>
    <w:rsid w:val="008B2046"/>
    <w:rsid w:val="008B50C2"/>
    <w:rsid w:val="008D17E5"/>
    <w:rsid w:val="008D3A54"/>
    <w:rsid w:val="008F4FE6"/>
    <w:rsid w:val="00900A30"/>
    <w:rsid w:val="00900FCF"/>
    <w:rsid w:val="00904F67"/>
    <w:rsid w:val="0090502E"/>
    <w:rsid w:val="00906600"/>
    <w:rsid w:val="00913215"/>
    <w:rsid w:val="00924EAF"/>
    <w:rsid w:val="009319F5"/>
    <w:rsid w:val="00945B03"/>
    <w:rsid w:val="009507DE"/>
    <w:rsid w:val="00954799"/>
    <w:rsid w:val="009577A3"/>
    <w:rsid w:val="0096093A"/>
    <w:rsid w:val="0096678A"/>
    <w:rsid w:val="0097792B"/>
    <w:rsid w:val="00977F0F"/>
    <w:rsid w:val="009A4813"/>
    <w:rsid w:val="009B0F47"/>
    <w:rsid w:val="009B299C"/>
    <w:rsid w:val="009B76FA"/>
    <w:rsid w:val="009C718A"/>
    <w:rsid w:val="009E0A91"/>
    <w:rsid w:val="009E571A"/>
    <w:rsid w:val="00A00A2F"/>
    <w:rsid w:val="00A027BF"/>
    <w:rsid w:val="00A037C0"/>
    <w:rsid w:val="00A20670"/>
    <w:rsid w:val="00A23FC8"/>
    <w:rsid w:val="00A55EBA"/>
    <w:rsid w:val="00A61257"/>
    <w:rsid w:val="00A632D8"/>
    <w:rsid w:val="00A64331"/>
    <w:rsid w:val="00A64BD3"/>
    <w:rsid w:val="00A66063"/>
    <w:rsid w:val="00A66BEB"/>
    <w:rsid w:val="00A711BF"/>
    <w:rsid w:val="00A71AA6"/>
    <w:rsid w:val="00A75DBA"/>
    <w:rsid w:val="00A82C84"/>
    <w:rsid w:val="00A86B5E"/>
    <w:rsid w:val="00A947C6"/>
    <w:rsid w:val="00A96484"/>
    <w:rsid w:val="00AA2FBA"/>
    <w:rsid w:val="00AA48A4"/>
    <w:rsid w:val="00AA4A48"/>
    <w:rsid w:val="00AB07C9"/>
    <w:rsid w:val="00AB5477"/>
    <w:rsid w:val="00AB7760"/>
    <w:rsid w:val="00AE2AF2"/>
    <w:rsid w:val="00B06B7B"/>
    <w:rsid w:val="00B06C58"/>
    <w:rsid w:val="00B139CA"/>
    <w:rsid w:val="00B209A8"/>
    <w:rsid w:val="00B20D0A"/>
    <w:rsid w:val="00B2199D"/>
    <w:rsid w:val="00B271C1"/>
    <w:rsid w:val="00B34A6D"/>
    <w:rsid w:val="00B41244"/>
    <w:rsid w:val="00B47DE3"/>
    <w:rsid w:val="00B47FC0"/>
    <w:rsid w:val="00B52048"/>
    <w:rsid w:val="00B62EE5"/>
    <w:rsid w:val="00B63712"/>
    <w:rsid w:val="00B6787D"/>
    <w:rsid w:val="00B70A9F"/>
    <w:rsid w:val="00B72119"/>
    <w:rsid w:val="00B7561D"/>
    <w:rsid w:val="00B76F65"/>
    <w:rsid w:val="00B80BEC"/>
    <w:rsid w:val="00B829E8"/>
    <w:rsid w:val="00B851DA"/>
    <w:rsid w:val="00B85B02"/>
    <w:rsid w:val="00B910DC"/>
    <w:rsid w:val="00B94D96"/>
    <w:rsid w:val="00BA002F"/>
    <w:rsid w:val="00BA2B68"/>
    <w:rsid w:val="00BA5830"/>
    <w:rsid w:val="00BB31DC"/>
    <w:rsid w:val="00BB34B5"/>
    <w:rsid w:val="00BB6774"/>
    <w:rsid w:val="00BC0010"/>
    <w:rsid w:val="00BD25F8"/>
    <w:rsid w:val="00BD7688"/>
    <w:rsid w:val="00BE332D"/>
    <w:rsid w:val="00BF0022"/>
    <w:rsid w:val="00BF0A7D"/>
    <w:rsid w:val="00BF7729"/>
    <w:rsid w:val="00C073C3"/>
    <w:rsid w:val="00C1052B"/>
    <w:rsid w:val="00C11B36"/>
    <w:rsid w:val="00C12818"/>
    <w:rsid w:val="00C14C38"/>
    <w:rsid w:val="00C15DB2"/>
    <w:rsid w:val="00C33E8F"/>
    <w:rsid w:val="00C425DC"/>
    <w:rsid w:val="00C4447F"/>
    <w:rsid w:val="00C51F90"/>
    <w:rsid w:val="00C6681B"/>
    <w:rsid w:val="00C75E1D"/>
    <w:rsid w:val="00C7798F"/>
    <w:rsid w:val="00C938D1"/>
    <w:rsid w:val="00C94D09"/>
    <w:rsid w:val="00CB00BC"/>
    <w:rsid w:val="00CB4FF2"/>
    <w:rsid w:val="00CE09F6"/>
    <w:rsid w:val="00CE5C21"/>
    <w:rsid w:val="00CF4DD9"/>
    <w:rsid w:val="00CF7F4D"/>
    <w:rsid w:val="00D0193B"/>
    <w:rsid w:val="00D019C7"/>
    <w:rsid w:val="00D044F9"/>
    <w:rsid w:val="00D1043A"/>
    <w:rsid w:val="00D12508"/>
    <w:rsid w:val="00D15ADF"/>
    <w:rsid w:val="00D301EA"/>
    <w:rsid w:val="00D307C2"/>
    <w:rsid w:val="00D313C9"/>
    <w:rsid w:val="00D4190B"/>
    <w:rsid w:val="00D42C40"/>
    <w:rsid w:val="00D51161"/>
    <w:rsid w:val="00D548FC"/>
    <w:rsid w:val="00D5587D"/>
    <w:rsid w:val="00D6103B"/>
    <w:rsid w:val="00D66235"/>
    <w:rsid w:val="00D73ABD"/>
    <w:rsid w:val="00D94456"/>
    <w:rsid w:val="00DA4A65"/>
    <w:rsid w:val="00DA4B9C"/>
    <w:rsid w:val="00DA7B8A"/>
    <w:rsid w:val="00DC12DF"/>
    <w:rsid w:val="00DC425D"/>
    <w:rsid w:val="00DC554D"/>
    <w:rsid w:val="00DC594B"/>
    <w:rsid w:val="00DC7ABB"/>
    <w:rsid w:val="00DD07D3"/>
    <w:rsid w:val="00DE0C6B"/>
    <w:rsid w:val="00DF2128"/>
    <w:rsid w:val="00DF3CE0"/>
    <w:rsid w:val="00E15A80"/>
    <w:rsid w:val="00E205D5"/>
    <w:rsid w:val="00E2477A"/>
    <w:rsid w:val="00E2755D"/>
    <w:rsid w:val="00E342F8"/>
    <w:rsid w:val="00E51E26"/>
    <w:rsid w:val="00E62BA4"/>
    <w:rsid w:val="00E744CF"/>
    <w:rsid w:val="00E80F05"/>
    <w:rsid w:val="00E81C81"/>
    <w:rsid w:val="00E974A7"/>
    <w:rsid w:val="00EA40E1"/>
    <w:rsid w:val="00EA70AC"/>
    <w:rsid w:val="00EA78F1"/>
    <w:rsid w:val="00EA7B35"/>
    <w:rsid w:val="00EB5B36"/>
    <w:rsid w:val="00EC4C95"/>
    <w:rsid w:val="00ED49FA"/>
    <w:rsid w:val="00ED6142"/>
    <w:rsid w:val="00ED6DDF"/>
    <w:rsid w:val="00EF3A90"/>
    <w:rsid w:val="00F04412"/>
    <w:rsid w:val="00F058D4"/>
    <w:rsid w:val="00F169D4"/>
    <w:rsid w:val="00F21FD5"/>
    <w:rsid w:val="00F22F06"/>
    <w:rsid w:val="00F32715"/>
    <w:rsid w:val="00F429D6"/>
    <w:rsid w:val="00F577AF"/>
    <w:rsid w:val="00F7761A"/>
    <w:rsid w:val="00F8799D"/>
    <w:rsid w:val="00F97976"/>
    <w:rsid w:val="00FA456E"/>
    <w:rsid w:val="00FA4E1F"/>
    <w:rsid w:val="00FB176D"/>
    <w:rsid w:val="00FB7666"/>
    <w:rsid w:val="00FC19B8"/>
    <w:rsid w:val="00FC4196"/>
    <w:rsid w:val="00FD4304"/>
    <w:rsid w:val="00FE0E32"/>
    <w:rsid w:val="00FE2C75"/>
    <w:rsid w:val="00FE682C"/>
    <w:rsid w:val="00FE6BFE"/>
    <w:rsid w:val="00FE6E00"/>
    <w:rsid w:val="00FF05CB"/>
    <w:rsid w:val="00FF51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577802"/>
  <w15:chartTrackingRefBased/>
  <w15:docId w15:val="{DB71F9CF-746F-8D47-904A-18CD5E7E4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768"/>
    <w:rPr>
      <w:rFonts w:ascii="Times New Roman" w:eastAsia="Times New Roman" w:hAnsi="Times New Roman" w:cs="Times New Roman"/>
    </w:rPr>
  </w:style>
  <w:style w:type="paragraph" w:styleId="Heading1">
    <w:name w:val="heading 1"/>
    <w:basedOn w:val="Normal"/>
    <w:next w:val="Normal"/>
    <w:link w:val="Heading1Char"/>
    <w:uiPriority w:val="9"/>
    <w:qFormat/>
    <w:rsid w:val="00B910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link w:val="Heading5Char"/>
    <w:uiPriority w:val="9"/>
    <w:qFormat/>
    <w:rsid w:val="00306F35"/>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40E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A40E1"/>
    <w:rPr>
      <w:sz w:val="20"/>
      <w:szCs w:val="20"/>
    </w:rPr>
  </w:style>
  <w:style w:type="character" w:styleId="FootnoteReference">
    <w:name w:val="footnote reference"/>
    <w:basedOn w:val="DefaultParagraphFont"/>
    <w:uiPriority w:val="99"/>
    <w:semiHidden/>
    <w:unhideWhenUsed/>
    <w:rsid w:val="00EA40E1"/>
    <w:rPr>
      <w:vertAlign w:val="superscript"/>
    </w:rPr>
  </w:style>
  <w:style w:type="character" w:styleId="Hyperlink">
    <w:name w:val="Hyperlink"/>
    <w:basedOn w:val="DefaultParagraphFont"/>
    <w:uiPriority w:val="99"/>
    <w:unhideWhenUsed/>
    <w:rsid w:val="00554439"/>
    <w:rPr>
      <w:color w:val="0000FF"/>
      <w:u w:val="single"/>
    </w:rPr>
  </w:style>
  <w:style w:type="character" w:customStyle="1" w:styleId="Heading5Char">
    <w:name w:val="Heading 5 Char"/>
    <w:basedOn w:val="DefaultParagraphFont"/>
    <w:link w:val="Heading5"/>
    <w:uiPriority w:val="9"/>
    <w:rsid w:val="00306F35"/>
    <w:rPr>
      <w:rFonts w:ascii="Times New Roman" w:eastAsia="Times New Roman" w:hAnsi="Times New Roman" w:cs="Times New Roman"/>
      <w:b/>
      <w:bCs/>
      <w:sz w:val="20"/>
      <w:szCs w:val="20"/>
    </w:rPr>
  </w:style>
  <w:style w:type="character" w:customStyle="1" w:styleId="result-subtitle">
    <w:name w:val="result-subtitle"/>
    <w:basedOn w:val="DefaultParagraphFont"/>
    <w:rsid w:val="00306F35"/>
  </w:style>
  <w:style w:type="character" w:styleId="FollowedHyperlink">
    <w:name w:val="FollowedHyperlink"/>
    <w:basedOn w:val="DefaultParagraphFont"/>
    <w:uiPriority w:val="99"/>
    <w:semiHidden/>
    <w:unhideWhenUsed/>
    <w:rsid w:val="002970A2"/>
    <w:rPr>
      <w:color w:val="954F72" w:themeColor="followedHyperlink"/>
      <w:u w:val="single"/>
    </w:rPr>
  </w:style>
  <w:style w:type="character" w:styleId="UnresolvedMention">
    <w:name w:val="Unresolved Mention"/>
    <w:basedOn w:val="DefaultParagraphFont"/>
    <w:uiPriority w:val="99"/>
    <w:semiHidden/>
    <w:unhideWhenUsed/>
    <w:rsid w:val="002970A2"/>
    <w:rPr>
      <w:color w:val="605E5C"/>
      <w:shd w:val="clear" w:color="auto" w:fill="E1DFDD"/>
    </w:rPr>
  </w:style>
  <w:style w:type="paragraph" w:styleId="NormalWeb">
    <w:name w:val="Normal (Web)"/>
    <w:basedOn w:val="Normal"/>
    <w:uiPriority w:val="99"/>
    <w:semiHidden/>
    <w:unhideWhenUsed/>
    <w:rsid w:val="00F7761A"/>
    <w:pPr>
      <w:spacing w:before="100" w:beforeAutospacing="1" w:after="100" w:afterAutospacing="1"/>
    </w:pPr>
  </w:style>
  <w:style w:type="character" w:customStyle="1" w:styleId="Heading1Char">
    <w:name w:val="Heading 1 Char"/>
    <w:basedOn w:val="DefaultParagraphFont"/>
    <w:link w:val="Heading1"/>
    <w:uiPriority w:val="9"/>
    <w:rsid w:val="00B910D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910DC"/>
    <w:pPr>
      <w:spacing w:before="480" w:line="276" w:lineRule="auto"/>
      <w:outlineLvl w:val="9"/>
    </w:pPr>
    <w:rPr>
      <w:b/>
      <w:bCs/>
      <w:sz w:val="28"/>
      <w:szCs w:val="28"/>
      <w:lang w:val="en-US"/>
    </w:rPr>
  </w:style>
  <w:style w:type="paragraph" w:styleId="TOC1">
    <w:name w:val="toc 1"/>
    <w:basedOn w:val="Normal"/>
    <w:next w:val="Normal"/>
    <w:autoRedefine/>
    <w:uiPriority w:val="39"/>
    <w:semiHidden/>
    <w:unhideWhenUsed/>
    <w:rsid w:val="00B910DC"/>
    <w:pPr>
      <w:spacing w:before="120"/>
    </w:pPr>
    <w:rPr>
      <w:rFonts w:asciiTheme="minorHAnsi" w:hAnsiTheme="minorHAnsi" w:cstheme="minorHAnsi"/>
      <w:b/>
      <w:bCs/>
      <w:i/>
      <w:iCs/>
    </w:rPr>
  </w:style>
  <w:style w:type="paragraph" w:styleId="TOC2">
    <w:name w:val="toc 2"/>
    <w:basedOn w:val="Normal"/>
    <w:next w:val="Normal"/>
    <w:autoRedefine/>
    <w:uiPriority w:val="39"/>
    <w:semiHidden/>
    <w:unhideWhenUsed/>
    <w:rsid w:val="00B910DC"/>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semiHidden/>
    <w:unhideWhenUsed/>
    <w:rsid w:val="00B910DC"/>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B910DC"/>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910DC"/>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910DC"/>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910DC"/>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910DC"/>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910DC"/>
    <w:pPr>
      <w:ind w:left="1920"/>
    </w:pPr>
    <w:rPr>
      <w:rFonts w:asciiTheme="minorHAnsi" w:hAnsiTheme="minorHAnsi" w:cstheme="minorHAnsi"/>
      <w:sz w:val="20"/>
      <w:szCs w:val="20"/>
    </w:rPr>
  </w:style>
  <w:style w:type="paragraph" w:styleId="Header">
    <w:name w:val="header"/>
    <w:basedOn w:val="Normal"/>
    <w:link w:val="HeaderChar"/>
    <w:uiPriority w:val="99"/>
    <w:unhideWhenUsed/>
    <w:rsid w:val="00414C99"/>
    <w:pPr>
      <w:tabs>
        <w:tab w:val="center" w:pos="4680"/>
        <w:tab w:val="right" w:pos="9360"/>
      </w:tabs>
    </w:pPr>
  </w:style>
  <w:style w:type="character" w:customStyle="1" w:styleId="HeaderChar">
    <w:name w:val="Header Char"/>
    <w:basedOn w:val="DefaultParagraphFont"/>
    <w:link w:val="Header"/>
    <w:uiPriority w:val="99"/>
    <w:rsid w:val="00414C99"/>
    <w:rPr>
      <w:rFonts w:ascii="Times New Roman" w:eastAsia="Times New Roman" w:hAnsi="Times New Roman" w:cs="Times New Roman"/>
    </w:rPr>
  </w:style>
  <w:style w:type="paragraph" w:styleId="Footer">
    <w:name w:val="footer"/>
    <w:basedOn w:val="Normal"/>
    <w:link w:val="FooterChar"/>
    <w:uiPriority w:val="99"/>
    <w:unhideWhenUsed/>
    <w:rsid w:val="00414C99"/>
    <w:pPr>
      <w:tabs>
        <w:tab w:val="center" w:pos="4680"/>
        <w:tab w:val="right" w:pos="9360"/>
      </w:tabs>
    </w:pPr>
  </w:style>
  <w:style w:type="character" w:customStyle="1" w:styleId="FooterChar">
    <w:name w:val="Footer Char"/>
    <w:basedOn w:val="DefaultParagraphFont"/>
    <w:link w:val="Footer"/>
    <w:uiPriority w:val="99"/>
    <w:rsid w:val="00414C99"/>
    <w:rPr>
      <w:rFonts w:ascii="Times New Roman" w:eastAsia="Times New Roman" w:hAnsi="Times New Roman" w:cs="Times New Roman"/>
    </w:rPr>
  </w:style>
  <w:style w:type="character" w:styleId="PageNumber">
    <w:name w:val="page number"/>
    <w:basedOn w:val="DefaultParagraphFont"/>
    <w:uiPriority w:val="99"/>
    <w:semiHidden/>
    <w:unhideWhenUsed/>
    <w:rsid w:val="009577A3"/>
  </w:style>
  <w:style w:type="character" w:styleId="EndnoteReference">
    <w:name w:val="endnote reference"/>
    <w:basedOn w:val="DefaultParagraphFont"/>
    <w:uiPriority w:val="99"/>
    <w:semiHidden/>
    <w:unhideWhenUsed/>
    <w:rsid w:val="00A612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18371">
      <w:bodyDiv w:val="1"/>
      <w:marLeft w:val="0"/>
      <w:marRight w:val="0"/>
      <w:marTop w:val="0"/>
      <w:marBottom w:val="0"/>
      <w:divBdr>
        <w:top w:val="none" w:sz="0" w:space="0" w:color="auto"/>
        <w:left w:val="none" w:sz="0" w:space="0" w:color="auto"/>
        <w:bottom w:val="none" w:sz="0" w:space="0" w:color="auto"/>
        <w:right w:val="none" w:sz="0" w:space="0" w:color="auto"/>
      </w:divBdr>
    </w:div>
    <w:div w:id="135681358">
      <w:bodyDiv w:val="1"/>
      <w:marLeft w:val="0"/>
      <w:marRight w:val="0"/>
      <w:marTop w:val="0"/>
      <w:marBottom w:val="0"/>
      <w:divBdr>
        <w:top w:val="none" w:sz="0" w:space="0" w:color="auto"/>
        <w:left w:val="none" w:sz="0" w:space="0" w:color="auto"/>
        <w:bottom w:val="none" w:sz="0" w:space="0" w:color="auto"/>
        <w:right w:val="none" w:sz="0" w:space="0" w:color="auto"/>
      </w:divBdr>
    </w:div>
    <w:div w:id="191961224">
      <w:bodyDiv w:val="1"/>
      <w:marLeft w:val="0"/>
      <w:marRight w:val="0"/>
      <w:marTop w:val="0"/>
      <w:marBottom w:val="0"/>
      <w:divBdr>
        <w:top w:val="none" w:sz="0" w:space="0" w:color="auto"/>
        <w:left w:val="none" w:sz="0" w:space="0" w:color="auto"/>
        <w:bottom w:val="none" w:sz="0" w:space="0" w:color="auto"/>
        <w:right w:val="none" w:sz="0" w:space="0" w:color="auto"/>
      </w:divBdr>
    </w:div>
    <w:div w:id="389504460">
      <w:bodyDiv w:val="1"/>
      <w:marLeft w:val="0"/>
      <w:marRight w:val="0"/>
      <w:marTop w:val="0"/>
      <w:marBottom w:val="0"/>
      <w:divBdr>
        <w:top w:val="none" w:sz="0" w:space="0" w:color="auto"/>
        <w:left w:val="none" w:sz="0" w:space="0" w:color="auto"/>
        <w:bottom w:val="none" w:sz="0" w:space="0" w:color="auto"/>
        <w:right w:val="none" w:sz="0" w:space="0" w:color="auto"/>
      </w:divBdr>
    </w:div>
    <w:div w:id="630864146">
      <w:bodyDiv w:val="1"/>
      <w:marLeft w:val="0"/>
      <w:marRight w:val="0"/>
      <w:marTop w:val="0"/>
      <w:marBottom w:val="0"/>
      <w:divBdr>
        <w:top w:val="none" w:sz="0" w:space="0" w:color="auto"/>
        <w:left w:val="none" w:sz="0" w:space="0" w:color="auto"/>
        <w:bottom w:val="none" w:sz="0" w:space="0" w:color="auto"/>
        <w:right w:val="none" w:sz="0" w:space="0" w:color="auto"/>
      </w:divBdr>
    </w:div>
    <w:div w:id="650335029">
      <w:bodyDiv w:val="1"/>
      <w:marLeft w:val="0"/>
      <w:marRight w:val="0"/>
      <w:marTop w:val="0"/>
      <w:marBottom w:val="0"/>
      <w:divBdr>
        <w:top w:val="none" w:sz="0" w:space="0" w:color="auto"/>
        <w:left w:val="none" w:sz="0" w:space="0" w:color="auto"/>
        <w:bottom w:val="none" w:sz="0" w:space="0" w:color="auto"/>
        <w:right w:val="none" w:sz="0" w:space="0" w:color="auto"/>
      </w:divBdr>
    </w:div>
    <w:div w:id="719864040">
      <w:bodyDiv w:val="1"/>
      <w:marLeft w:val="0"/>
      <w:marRight w:val="0"/>
      <w:marTop w:val="0"/>
      <w:marBottom w:val="0"/>
      <w:divBdr>
        <w:top w:val="none" w:sz="0" w:space="0" w:color="auto"/>
        <w:left w:val="none" w:sz="0" w:space="0" w:color="auto"/>
        <w:bottom w:val="none" w:sz="0" w:space="0" w:color="auto"/>
        <w:right w:val="none" w:sz="0" w:space="0" w:color="auto"/>
      </w:divBdr>
    </w:div>
    <w:div w:id="730347285">
      <w:bodyDiv w:val="1"/>
      <w:marLeft w:val="0"/>
      <w:marRight w:val="0"/>
      <w:marTop w:val="0"/>
      <w:marBottom w:val="0"/>
      <w:divBdr>
        <w:top w:val="none" w:sz="0" w:space="0" w:color="auto"/>
        <w:left w:val="none" w:sz="0" w:space="0" w:color="auto"/>
        <w:bottom w:val="none" w:sz="0" w:space="0" w:color="auto"/>
        <w:right w:val="none" w:sz="0" w:space="0" w:color="auto"/>
      </w:divBdr>
    </w:div>
    <w:div w:id="839199305">
      <w:bodyDiv w:val="1"/>
      <w:marLeft w:val="0"/>
      <w:marRight w:val="0"/>
      <w:marTop w:val="0"/>
      <w:marBottom w:val="0"/>
      <w:divBdr>
        <w:top w:val="none" w:sz="0" w:space="0" w:color="auto"/>
        <w:left w:val="none" w:sz="0" w:space="0" w:color="auto"/>
        <w:bottom w:val="none" w:sz="0" w:space="0" w:color="auto"/>
        <w:right w:val="none" w:sz="0" w:space="0" w:color="auto"/>
      </w:divBdr>
    </w:div>
    <w:div w:id="842088815">
      <w:bodyDiv w:val="1"/>
      <w:marLeft w:val="0"/>
      <w:marRight w:val="0"/>
      <w:marTop w:val="0"/>
      <w:marBottom w:val="0"/>
      <w:divBdr>
        <w:top w:val="none" w:sz="0" w:space="0" w:color="auto"/>
        <w:left w:val="none" w:sz="0" w:space="0" w:color="auto"/>
        <w:bottom w:val="none" w:sz="0" w:space="0" w:color="auto"/>
        <w:right w:val="none" w:sz="0" w:space="0" w:color="auto"/>
      </w:divBdr>
    </w:div>
    <w:div w:id="980035444">
      <w:bodyDiv w:val="1"/>
      <w:marLeft w:val="0"/>
      <w:marRight w:val="0"/>
      <w:marTop w:val="0"/>
      <w:marBottom w:val="0"/>
      <w:divBdr>
        <w:top w:val="none" w:sz="0" w:space="0" w:color="auto"/>
        <w:left w:val="none" w:sz="0" w:space="0" w:color="auto"/>
        <w:bottom w:val="none" w:sz="0" w:space="0" w:color="auto"/>
        <w:right w:val="none" w:sz="0" w:space="0" w:color="auto"/>
      </w:divBdr>
    </w:div>
    <w:div w:id="1036270223">
      <w:bodyDiv w:val="1"/>
      <w:marLeft w:val="0"/>
      <w:marRight w:val="0"/>
      <w:marTop w:val="0"/>
      <w:marBottom w:val="0"/>
      <w:divBdr>
        <w:top w:val="none" w:sz="0" w:space="0" w:color="auto"/>
        <w:left w:val="none" w:sz="0" w:space="0" w:color="auto"/>
        <w:bottom w:val="none" w:sz="0" w:space="0" w:color="auto"/>
        <w:right w:val="none" w:sz="0" w:space="0" w:color="auto"/>
      </w:divBdr>
    </w:div>
    <w:div w:id="1268196061">
      <w:bodyDiv w:val="1"/>
      <w:marLeft w:val="0"/>
      <w:marRight w:val="0"/>
      <w:marTop w:val="0"/>
      <w:marBottom w:val="0"/>
      <w:divBdr>
        <w:top w:val="none" w:sz="0" w:space="0" w:color="auto"/>
        <w:left w:val="none" w:sz="0" w:space="0" w:color="auto"/>
        <w:bottom w:val="none" w:sz="0" w:space="0" w:color="auto"/>
        <w:right w:val="none" w:sz="0" w:space="0" w:color="auto"/>
      </w:divBdr>
    </w:div>
    <w:div w:id="1385833571">
      <w:bodyDiv w:val="1"/>
      <w:marLeft w:val="0"/>
      <w:marRight w:val="0"/>
      <w:marTop w:val="0"/>
      <w:marBottom w:val="0"/>
      <w:divBdr>
        <w:top w:val="none" w:sz="0" w:space="0" w:color="auto"/>
        <w:left w:val="none" w:sz="0" w:space="0" w:color="auto"/>
        <w:bottom w:val="none" w:sz="0" w:space="0" w:color="auto"/>
        <w:right w:val="none" w:sz="0" w:space="0" w:color="auto"/>
      </w:divBdr>
    </w:div>
    <w:div w:id="1392651046">
      <w:bodyDiv w:val="1"/>
      <w:marLeft w:val="0"/>
      <w:marRight w:val="0"/>
      <w:marTop w:val="0"/>
      <w:marBottom w:val="0"/>
      <w:divBdr>
        <w:top w:val="none" w:sz="0" w:space="0" w:color="auto"/>
        <w:left w:val="none" w:sz="0" w:space="0" w:color="auto"/>
        <w:bottom w:val="none" w:sz="0" w:space="0" w:color="auto"/>
        <w:right w:val="none" w:sz="0" w:space="0" w:color="auto"/>
      </w:divBdr>
    </w:div>
    <w:div w:id="1426654285">
      <w:bodyDiv w:val="1"/>
      <w:marLeft w:val="0"/>
      <w:marRight w:val="0"/>
      <w:marTop w:val="0"/>
      <w:marBottom w:val="0"/>
      <w:divBdr>
        <w:top w:val="none" w:sz="0" w:space="0" w:color="auto"/>
        <w:left w:val="none" w:sz="0" w:space="0" w:color="auto"/>
        <w:bottom w:val="none" w:sz="0" w:space="0" w:color="auto"/>
        <w:right w:val="none" w:sz="0" w:space="0" w:color="auto"/>
      </w:divBdr>
    </w:div>
    <w:div w:id="1438794835">
      <w:bodyDiv w:val="1"/>
      <w:marLeft w:val="0"/>
      <w:marRight w:val="0"/>
      <w:marTop w:val="0"/>
      <w:marBottom w:val="0"/>
      <w:divBdr>
        <w:top w:val="none" w:sz="0" w:space="0" w:color="auto"/>
        <w:left w:val="none" w:sz="0" w:space="0" w:color="auto"/>
        <w:bottom w:val="none" w:sz="0" w:space="0" w:color="auto"/>
        <w:right w:val="none" w:sz="0" w:space="0" w:color="auto"/>
      </w:divBdr>
    </w:div>
    <w:div w:id="174090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56B6B-B700-754A-8F37-C8E62E95C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12378</Words>
  <Characters>70556</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Keyworth</dc:creator>
  <cp:keywords/>
  <dc:description/>
  <cp:lastModifiedBy>Nadine Keyworth</cp:lastModifiedBy>
  <cp:revision>2</cp:revision>
  <dcterms:created xsi:type="dcterms:W3CDTF">2020-07-02T00:22:00Z</dcterms:created>
  <dcterms:modified xsi:type="dcterms:W3CDTF">2020-07-02T00:22:00Z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44fc153e-7fc4-3ccc-8b6b-19b3af46d9fa</vt:lpwstr>
  </property>
  <property fmtid="{D5CDD505-2E9C-101B-9397-08002B2CF9AE}" pid="24" name="Mendeley Citation Style_1">
    <vt:lpwstr>http://www.zotero.org/styles/apa</vt:lpwstr>
  </property>
</Properties>
</file>